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Lines="0" w:beforeAutospacing="0" w:after="0" w:afterLines="0" w:afterAutospacing="0" w:line="240" w:lineRule="auto"/>
        <w:ind w:firstLine="420"/>
        <w:jc w:val="left"/>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广供电规划〔2025〕29号附件1</w:t>
      </w:r>
    </w:p>
    <w:p>
      <w:pPr>
        <w:pStyle w:val="4"/>
        <w:spacing w:before="0" w:beforeLines="0" w:beforeAutospacing="0" w:after="0" w:afterLines="0" w:afterAutospacing="0" w:line="240" w:lineRule="auto"/>
        <w:ind w:firstLine="420"/>
        <w:jc w:val="center"/>
        <w:rPr>
          <w:rFonts w:hint="eastAsia" w:ascii="方正小标宋_GBK" w:hAnsi="方正小标宋_GBK" w:eastAsia="方正小标宋_GBK" w:cs="Times New Roman"/>
          <w:b w:val="0"/>
          <w:bCs/>
          <w:color w:val="auto"/>
          <w:szCs w:val="44"/>
          <w:highlight w:val="none"/>
          <w:lang w:val="en-US" w:eastAsia="zh-CN"/>
        </w:rPr>
      </w:pPr>
      <w:r>
        <w:rPr>
          <w:rFonts w:hint="eastAsia" w:ascii="方正小标宋_GBK" w:hAnsi="方正小标宋_GBK" w:eastAsia="方正小标宋_GBK" w:cs="Times New Roman"/>
          <w:b w:val="0"/>
          <w:bCs/>
          <w:color w:val="auto"/>
          <w:szCs w:val="44"/>
          <w:highlight w:val="none"/>
          <w:lang w:val="en-US" w:eastAsia="zh-CN"/>
        </w:rPr>
        <w:t>110千伏太平站扩建第三台主变工程</w:t>
      </w:r>
    </w:p>
    <w:p>
      <w:pPr>
        <w:pStyle w:val="4"/>
        <w:spacing w:before="0" w:beforeLines="0" w:beforeAutospacing="0" w:after="0" w:afterLines="0" w:afterAutospacing="0" w:line="240" w:lineRule="auto"/>
        <w:ind w:firstLine="420"/>
        <w:jc w:val="center"/>
        <w:rPr>
          <w:rFonts w:hint="eastAsia" w:ascii="方正小标宋_GBK" w:hAnsi="方正小标宋_GBK" w:eastAsia="方正小标宋_GBK" w:cs="Times New Roman"/>
          <w:b w:val="0"/>
          <w:bCs/>
          <w:color w:val="auto"/>
          <w:szCs w:val="44"/>
          <w:highlight w:val="none"/>
        </w:rPr>
      </w:pPr>
      <w:r>
        <w:rPr>
          <w:rFonts w:hint="eastAsia" w:ascii="方正小标宋_GBK" w:hAnsi="方正小标宋_GBK" w:eastAsia="方正小标宋_GBK" w:cs="Times New Roman"/>
          <w:b w:val="0"/>
          <w:bCs/>
          <w:color w:val="auto"/>
          <w:szCs w:val="44"/>
          <w:highlight w:val="none"/>
          <w:lang w:val="en-US" w:eastAsia="zh-CN"/>
        </w:rPr>
        <w:t>可行性研究报告评审意见</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jc w:val="both"/>
        <w:textAlignment w:val="auto"/>
        <w:outlineLvl w:val="9"/>
        <w:rPr>
          <w:rFonts w:hint="eastAsia" w:ascii="仿宋_GB2312" w:hAnsi="仿宋_GB2312" w:eastAsia="仿宋_GB2312" w:cs="Times New Roman"/>
          <w:color w:val="auto"/>
          <w:sz w:val="32"/>
          <w:szCs w:val="32"/>
          <w:highlight w:val="none"/>
        </w:rPr>
      </w:pPr>
      <w:r>
        <w:rPr>
          <w:rFonts w:hint="eastAsia" w:ascii="仿宋_GB2312" w:hAnsi="仿宋_GB2312" w:eastAsia="仿宋_GB2312" w:cs="Times New Roman"/>
          <w:color w:val="auto"/>
          <w:sz w:val="32"/>
          <w:szCs w:val="32"/>
          <w:highlight w:val="none"/>
          <w:lang w:val="en-US" w:eastAsia="zh-CN"/>
        </w:rPr>
        <w:t>2025年2月24日，广州供电局组织召开了110千伏太平站扩建第三台主变工程可行性研究报告评审会议，规划研究中心主持审查工作。本工程为C类电网基建项目，项目规划2027年6月建</w:t>
      </w:r>
      <w:r>
        <w:rPr>
          <w:rFonts w:hint="eastAsia" w:ascii="仿宋_GB2312" w:hAnsi="仿宋_GB2312" w:eastAsia="仿宋_GB2312" w:cs="Times New Roman"/>
          <w:color w:val="auto"/>
          <w:sz w:val="32"/>
          <w:szCs w:val="32"/>
          <w:highlight w:val="none"/>
        </w:rPr>
        <w:t>成投产。</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jc w:val="both"/>
        <w:textAlignment w:val="auto"/>
        <w:outlineLvl w:val="9"/>
        <w:rPr>
          <w:rFonts w:hint="eastAsia" w:ascii="仿宋_GB2312" w:hAnsi="仿宋_GB2312" w:eastAsia="仿宋_GB2312" w:cs="Times New Roman"/>
          <w:color w:val="auto"/>
          <w:sz w:val="32"/>
          <w:szCs w:val="32"/>
          <w:highlight w:val="none"/>
        </w:rPr>
      </w:pPr>
      <w:r>
        <w:rPr>
          <w:rFonts w:hint="eastAsia" w:ascii="仿宋_GB2312" w:hAnsi="仿宋_GB2312" w:eastAsia="仿宋_GB2312" w:cs="Times New Roman"/>
          <w:color w:val="auto"/>
          <w:sz w:val="32"/>
          <w:szCs w:val="32"/>
          <w:highlight w:val="none"/>
        </w:rPr>
        <w:t>会议对设计单位提交的工程可行性研究报告进行了充分讨论，形成评审意见如下：</w:t>
      </w:r>
    </w:p>
    <w:p>
      <w:pPr>
        <w:pStyle w:val="4"/>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黑体" w:hAnsi="黑体" w:eastAsia="黑体" w:cs="Times New Roman"/>
          <w:b w:val="0"/>
          <w:bCs/>
          <w:i w:val="0"/>
          <w:color w:val="auto"/>
          <w:sz w:val="32"/>
          <w:highlight w:val="none"/>
        </w:rPr>
      </w:pPr>
      <w:r>
        <w:rPr>
          <w:rFonts w:hint="eastAsia" w:ascii="黑体" w:hAnsi="黑体" w:eastAsia="黑体" w:cs="Times New Roman"/>
          <w:b w:val="0"/>
          <w:bCs/>
          <w:i w:val="0"/>
          <w:color w:val="auto"/>
          <w:sz w:val="32"/>
          <w:highlight w:val="none"/>
        </w:rPr>
        <w:t>一、工程建设的必要性</w:t>
      </w:r>
    </w:p>
    <w:p>
      <w:pPr>
        <w:pageBreakBefore w:val="0"/>
        <w:widowControl w:val="0"/>
        <w:kinsoku/>
        <w:wordWrap/>
        <w:overflowPunct/>
        <w:topLinePunct w:val="0"/>
        <w:autoSpaceDE/>
        <w:autoSpaceDN/>
        <w:bidi w:val="0"/>
        <w:adjustRightInd/>
        <w:snapToGrid/>
        <w:spacing w:before="156" w:beforeLines="50" w:line="560" w:lineRule="exact"/>
        <w:ind w:firstLine="640" w:firstLineChars="200"/>
        <w:textAlignment w:val="auto"/>
        <w:outlineLvl w:val="0"/>
        <w:rPr>
          <w:rFonts w:hint="eastAsia" w:ascii="楷体_GB2312" w:hAnsi="楷体_GB2312" w:eastAsia="楷体_GB2312" w:cs="楷体_GB2312"/>
          <w:b w:val="0"/>
          <w:color w:val="auto"/>
          <w:sz w:val="32"/>
          <w:highlight w:val="none"/>
        </w:rPr>
      </w:pPr>
      <w:r>
        <w:rPr>
          <w:rFonts w:hint="eastAsia" w:ascii="楷体_GB2312" w:hAnsi="楷体_GB2312" w:eastAsia="楷体_GB2312" w:cs="楷体_GB2312"/>
          <w:b w:val="0"/>
          <w:color w:val="auto"/>
          <w:sz w:val="32"/>
          <w:highlight w:val="none"/>
        </w:rPr>
        <w:t>（一）电网概况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Times New Roman"/>
          <w:b w:val="0"/>
          <w:color w:val="auto"/>
          <w:sz w:val="32"/>
          <w:highlight w:val="none"/>
          <w:lang w:val="en-US" w:eastAsia="zh-CN"/>
        </w:rPr>
      </w:pPr>
      <w:r>
        <w:rPr>
          <w:rFonts w:hint="eastAsia" w:ascii="仿宋_GB2312" w:hAnsi="仿宋_GB2312" w:eastAsia="仿宋_GB2312" w:cs="Times New Roman"/>
          <w:b w:val="0"/>
          <w:color w:val="auto"/>
          <w:sz w:val="32"/>
          <w:highlight w:val="none"/>
          <w:lang w:val="en-US" w:eastAsia="zh-CN"/>
        </w:rPr>
        <w:t>广州市2024年最高供电负荷24552MW，增速7.8%，110kV主变容载比为2.02。</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highlight w:val="none"/>
          <w:lang w:val="en-US" w:eastAsia="zh-CN"/>
        </w:rPr>
      </w:pPr>
      <w:r>
        <w:rPr>
          <w:rFonts w:hint="eastAsia" w:ascii="仿宋_GB2312" w:hAnsi="仿宋_GB2312" w:eastAsia="仿宋_GB2312" w:cs="Times New Roman"/>
          <w:b w:val="0"/>
          <w:color w:val="auto"/>
          <w:sz w:val="32"/>
          <w:highlight w:val="none"/>
          <w:lang w:val="en-US" w:eastAsia="zh-CN"/>
        </w:rPr>
        <w:t>从化区位于广州市北部，供电面积为1974.5km</w:t>
      </w:r>
      <w:r>
        <w:rPr>
          <w:rFonts w:hint="eastAsia" w:ascii="仿宋_GB2312" w:hAnsi="仿宋_GB2312" w:eastAsia="仿宋_GB2312" w:cs="Times New Roman"/>
          <w:b w:val="0"/>
          <w:color w:val="auto"/>
          <w:sz w:val="32"/>
          <w:highlight w:val="none"/>
          <w:vertAlign w:val="superscript"/>
          <w:lang w:val="en-US" w:eastAsia="zh-CN"/>
        </w:rPr>
        <w:t>2</w:t>
      </w:r>
      <w:r>
        <w:rPr>
          <w:rFonts w:hint="eastAsia" w:ascii="仿宋_GB2312" w:hAnsi="仿宋_GB2312" w:eastAsia="仿宋_GB2312" w:cs="Times New Roman"/>
          <w:b w:val="0"/>
          <w:color w:val="auto"/>
          <w:sz w:val="32"/>
          <w:highlight w:val="none"/>
          <w:lang w:val="en-US" w:eastAsia="zh-CN"/>
        </w:rPr>
        <w:t>。截至2024年底，从化区共有500kV变电站1座，220kV变电站3座，110kV变电站18座。2024年最高供电负荷为687MW，增速6.8%，110kV主变容载比为2.4。</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Times New Roman"/>
          <w:b w:val="0"/>
          <w:color w:val="auto"/>
          <w:sz w:val="32"/>
          <w:highlight w:val="none"/>
        </w:rPr>
      </w:pPr>
      <w:r>
        <w:rPr>
          <w:rFonts w:hint="eastAsia" w:ascii="仿宋_GB2312" w:hAnsi="仿宋_GB2312" w:eastAsia="仿宋_GB2312" w:cs="Times New Roman"/>
          <w:b w:val="0"/>
          <w:color w:val="auto"/>
          <w:sz w:val="32"/>
          <w:highlight w:val="none"/>
          <w:lang w:val="en-US" w:eastAsia="zh-CN"/>
        </w:rPr>
        <w:t>110kV太平变电站位于从化区太平镇，属于B类供电区。该站供电范围为东至红石村，南至与白云区、黄埔区交界近珠三角环线高速公路，西至流溪河，北至工业大道，供电面积约为69.3km</w:t>
      </w:r>
      <w:r>
        <w:rPr>
          <w:rFonts w:hint="eastAsia" w:ascii="仿宋_GB2312" w:hAnsi="仿宋_GB2312" w:eastAsia="仿宋_GB2312" w:cs="Times New Roman"/>
          <w:b w:val="0"/>
          <w:color w:val="auto"/>
          <w:sz w:val="32"/>
          <w:highlight w:val="none"/>
          <w:vertAlign w:val="superscript"/>
          <w:lang w:val="en-US" w:eastAsia="zh-CN"/>
        </w:rPr>
        <w:t>2</w:t>
      </w:r>
      <w:r>
        <w:rPr>
          <w:rFonts w:hint="eastAsia" w:ascii="仿宋_GB2312" w:hAnsi="仿宋_GB2312" w:eastAsia="仿宋_GB2312" w:cs="Times New Roman"/>
          <w:b w:val="0"/>
          <w:color w:val="auto"/>
          <w:sz w:val="32"/>
          <w:highlight w:val="none"/>
          <w:lang w:val="en-US" w:eastAsia="zh-CN"/>
        </w:rPr>
        <w:t>，主要为农业、商业和工业等负荷供电。目前该站近区主要由220kV绿洲站（2×180+240MVA）、110kV太平站（2×40MVA）和110kV水南站（2×40MVA）供电。2024年高峰负荷日，绿洲站、太平站和水南站负载率分别为53%、75%和61%，其中太平站连续三年不满足主变“N-1”。</w:t>
      </w:r>
    </w:p>
    <w:p>
      <w:pPr>
        <w:pageBreakBefore w:val="0"/>
        <w:widowControl w:val="0"/>
        <w:kinsoku/>
        <w:wordWrap/>
        <w:overflowPunct/>
        <w:topLinePunct w:val="0"/>
        <w:autoSpaceDE/>
        <w:autoSpaceDN/>
        <w:bidi w:val="0"/>
        <w:adjustRightInd/>
        <w:snapToGrid/>
        <w:spacing w:before="156" w:beforeLines="50" w:line="560" w:lineRule="exact"/>
        <w:ind w:firstLine="640" w:firstLineChars="200"/>
        <w:textAlignment w:val="auto"/>
        <w:outlineLvl w:val="0"/>
        <w:rPr>
          <w:rFonts w:hint="eastAsia" w:ascii="楷体_GB2312" w:hAnsi="楷体_GB2312" w:eastAsia="楷体_GB2312" w:cs="楷体_GB2312"/>
          <w:b w:val="0"/>
          <w:color w:val="auto"/>
          <w:sz w:val="32"/>
          <w:highlight w:val="none"/>
        </w:rPr>
      </w:pPr>
      <w:r>
        <w:rPr>
          <w:rFonts w:hint="eastAsia" w:ascii="楷体_GB2312" w:hAnsi="楷体_GB2312" w:eastAsia="楷体_GB2312" w:cs="楷体_GB2312"/>
          <w:b w:val="0"/>
          <w:color w:val="auto"/>
          <w:sz w:val="32"/>
          <w:highlight w:val="none"/>
        </w:rPr>
        <w:t>（</w:t>
      </w:r>
      <w:r>
        <w:rPr>
          <w:rFonts w:hint="eastAsia" w:ascii="楷体_GB2312" w:hAnsi="楷体_GB2312" w:eastAsia="楷体_GB2312" w:cs="楷体_GB2312"/>
          <w:b w:val="0"/>
          <w:color w:val="auto"/>
          <w:sz w:val="32"/>
          <w:highlight w:val="none"/>
          <w:lang w:val="en-US" w:eastAsia="zh-CN"/>
        </w:rPr>
        <w:t>二）存在的主要问题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Times New Roman"/>
          <w:b w:val="0"/>
          <w:color w:val="auto"/>
          <w:sz w:val="32"/>
          <w:highlight w:val="none"/>
          <w:lang w:val="en-US" w:eastAsia="zh-CN"/>
        </w:rPr>
      </w:pPr>
      <w:r>
        <w:rPr>
          <w:rFonts w:hint="eastAsia" w:ascii="仿宋_GB2312" w:hAnsi="仿宋_GB2312" w:eastAsia="仿宋_GB2312" w:cs="Times New Roman"/>
          <w:b w:val="0"/>
          <w:color w:val="auto"/>
          <w:sz w:val="32"/>
          <w:highlight w:val="none"/>
          <w:lang w:val="en-US" w:eastAsia="zh-CN"/>
        </w:rPr>
        <w:t>1.太平站已不满足主变N-1，近区供电能力不足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Times New Roman"/>
          <w:b w:val="0"/>
          <w:color w:val="auto"/>
          <w:sz w:val="32"/>
          <w:highlight w:val="none"/>
          <w:lang w:val="en-US" w:eastAsia="zh-CN"/>
        </w:rPr>
      </w:pPr>
      <w:r>
        <w:rPr>
          <w:rFonts w:hint="eastAsia" w:ascii="仿宋_GB2312" w:hAnsi="仿宋_GB2312" w:eastAsia="仿宋_GB2312" w:cs="Times New Roman"/>
          <w:b w:val="0"/>
          <w:color w:val="auto"/>
          <w:sz w:val="32"/>
          <w:highlight w:val="none"/>
          <w:lang w:val="en-US" w:eastAsia="zh-CN"/>
        </w:rPr>
        <w:t>2024年110kV太平站最高供电负荷约为59.79MW，主变负载率达到75%，该站已连续三年不满足主变N-1，难以满足负荷增长需求。2024年110kV水南站最高供电负荷约为48.92MW，主变负载率为61%，预计3年内不满足主变“N-1”，无法满足太平站供电片区负荷的进一步发展。随着太平站近区报装负荷不断释放，预计2026年、2027年、2030年太平站近区的供电负荷分别为161MW、184MW、210MW。根据电力平衡结果，太平站近区电网2025年已出现110kV降压容量不足，缺额为77MVA；即使考虑2026年水南扩建第三台主变、2027年高埔站投产，2026年、2027年和2030年太平站近区电网110kV降压容量缺额分别为116MVA、98MVA和22MVA，无法满足该片区负荷的进一步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Times New Roman"/>
          <w:b w:val="0"/>
          <w:color w:val="auto"/>
          <w:sz w:val="32"/>
          <w:highlight w:val="none"/>
          <w:lang w:val="en-US" w:eastAsia="zh-CN"/>
        </w:rPr>
      </w:pPr>
      <w:r>
        <w:rPr>
          <w:rFonts w:hint="eastAsia" w:ascii="仿宋_GB2312" w:hAnsi="仿宋_GB2312" w:eastAsia="仿宋_GB2312" w:cs="Times New Roman"/>
          <w:b w:val="0"/>
          <w:color w:val="auto"/>
          <w:sz w:val="32"/>
          <w:highlight w:val="none"/>
          <w:lang w:val="en-US" w:eastAsia="zh-CN"/>
        </w:rPr>
        <w:t>2.近区10kV供电馈线不足，网架结构薄弱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Times New Roman"/>
          <w:b w:val="0"/>
          <w:color w:val="auto"/>
          <w:sz w:val="32"/>
          <w:highlight w:val="none"/>
          <w:lang w:val="en-US" w:eastAsia="zh-CN"/>
        </w:rPr>
      </w:pPr>
      <w:r>
        <w:rPr>
          <w:rFonts w:hint="eastAsia" w:ascii="仿宋_GB2312" w:hAnsi="仿宋_GB2312" w:eastAsia="仿宋_GB2312" w:cs="Times New Roman"/>
          <w:b w:val="0"/>
          <w:color w:val="auto"/>
          <w:sz w:val="32"/>
          <w:highlight w:val="none"/>
          <w:lang w:val="en-US" w:eastAsia="zh-CN"/>
        </w:rPr>
        <w:t>目前，绿洲站共有10kV间隔30个，剩余13个，剩余间隔主要预留解决本站馈线网架风险问题及满足本站负荷报装使用，现状绿洲站往东至太平站10kV电力管廊已全部使用，新建管廊无法在近2年完成建设，无法支撑太平站新报装负荷；太平站共有10kV间隔20个，剩余0个；水南站共有10kV间隔24个，剩余8个，其中2个间隔已计划用于转供太平站负荷，剩余间隔和扩建第三台主变新出10kV间隔主要预留本站负荷报装使用，同时因在建高湖路未能确定竣工时间，导致沿线同步管廊未竣工，水南站无法往南新出10kV线路转供太平站负荷</w:t>
      </w:r>
      <w:r>
        <w:rPr>
          <w:rFonts w:hint="eastAsia" w:ascii="仿宋_GB2312" w:hAnsi="仿宋_GB2312" w:eastAsia="仿宋_GB2312"/>
          <w:color w:val="auto"/>
          <w:sz w:val="32"/>
          <w:highlight w:val="none"/>
        </w:rPr>
        <w:t>。</w:t>
      </w:r>
      <w:r>
        <w:rPr>
          <w:rFonts w:hint="eastAsia" w:ascii="仿宋_GB2312" w:hAnsi="仿宋_GB2312" w:eastAsia="仿宋_GB2312"/>
          <w:color w:val="auto"/>
          <w:sz w:val="32"/>
          <w:highlight w:val="none"/>
          <w:lang w:eastAsia="zh-CN"/>
        </w:rPr>
        <w:t>规划</w:t>
      </w:r>
      <w:r>
        <w:rPr>
          <w:rFonts w:hint="eastAsia" w:ascii="仿宋_GB2312" w:hAnsi="仿宋_GB2312" w:eastAsia="仿宋_GB2312"/>
          <w:color w:val="auto"/>
          <w:sz w:val="32"/>
          <w:highlight w:val="none"/>
          <w:lang w:val="en-US" w:eastAsia="zh-CN"/>
        </w:rPr>
        <w:t>2027年建成投产的110kV高埔站，因道路沿线房屋拆迁受阻，道路配套管廊建设进度不可控，暂无法新出10kV线路转供太平站负荷。</w:t>
      </w:r>
      <w:r>
        <w:rPr>
          <w:rFonts w:hint="eastAsia" w:ascii="仿宋_GB2312" w:hAnsi="仿宋_GB2312" w:eastAsia="仿宋_GB2312"/>
          <w:color w:val="auto"/>
          <w:sz w:val="32"/>
          <w:highlight w:val="none"/>
        </w:rPr>
        <w:t>近区10kV馈线</w:t>
      </w:r>
      <w:r>
        <w:rPr>
          <w:rFonts w:hint="eastAsia" w:ascii="仿宋_GB2312" w:hAnsi="仿宋_GB2312" w:eastAsia="仿宋_GB2312"/>
          <w:color w:val="auto"/>
          <w:sz w:val="32"/>
          <w:highlight w:val="none"/>
          <w:lang w:val="en-US" w:eastAsia="zh-CN"/>
        </w:rPr>
        <w:t>资源</w:t>
      </w:r>
      <w:r>
        <w:rPr>
          <w:rFonts w:hint="eastAsia" w:ascii="仿宋_GB2312" w:hAnsi="仿宋_GB2312" w:eastAsia="仿宋_GB2312"/>
          <w:color w:val="auto"/>
          <w:sz w:val="32"/>
          <w:highlight w:val="none"/>
        </w:rPr>
        <w:t>不足，无法</w:t>
      </w:r>
      <w:r>
        <w:rPr>
          <w:rFonts w:hint="eastAsia" w:ascii="仿宋_GB2312" w:hAnsi="仿宋_GB2312" w:eastAsia="仿宋_GB2312"/>
          <w:color w:val="auto"/>
          <w:sz w:val="32"/>
          <w:highlight w:val="none"/>
          <w:lang w:val="en-US" w:eastAsia="zh-CN"/>
        </w:rPr>
        <w:t>满足</w:t>
      </w:r>
      <w:r>
        <w:rPr>
          <w:rFonts w:hint="eastAsia" w:ascii="仿宋_GB2312" w:hAnsi="仿宋_GB2312" w:eastAsia="仿宋_GB2312"/>
          <w:color w:val="auto"/>
          <w:sz w:val="32"/>
          <w:highlight w:val="none"/>
        </w:rPr>
        <w:t>该片区负荷的进一步发展。</w:t>
      </w:r>
    </w:p>
    <w:p>
      <w:pPr>
        <w:pageBreakBefore w:val="0"/>
        <w:kinsoku/>
        <w:wordWrap/>
        <w:overflowPunct/>
        <w:topLinePunct w:val="0"/>
        <w:bidi w:val="0"/>
        <w:snapToGrid/>
        <w:spacing w:before="156" w:beforeLines="50" w:line="560" w:lineRule="exact"/>
        <w:ind w:firstLine="640" w:firstLineChars="200"/>
        <w:outlineLvl w:val="0"/>
        <w:rPr>
          <w:rFonts w:hint="eastAsia" w:ascii="楷体_GB2312" w:hAnsi="楷体_GB2312" w:eastAsia="楷体_GB2312" w:cs="楷体_GB2312"/>
          <w:b w:val="0"/>
          <w:color w:val="auto"/>
          <w:sz w:val="32"/>
          <w:highlight w:val="none"/>
        </w:rPr>
      </w:pPr>
      <w:r>
        <w:rPr>
          <w:rFonts w:hint="eastAsia" w:ascii="楷体_GB2312" w:hAnsi="楷体_GB2312" w:eastAsia="楷体_GB2312" w:cs="楷体_GB2312"/>
          <w:b w:val="0"/>
          <w:color w:val="auto"/>
          <w:sz w:val="32"/>
          <w:highlight w:val="none"/>
        </w:rPr>
        <w:t>（三）本工程建设必要性</w:t>
      </w:r>
    </w:p>
    <w:p>
      <w:pPr>
        <w:spacing w:line="560" w:lineRule="exact"/>
        <w:ind w:firstLine="640" w:firstLineChars="200"/>
        <w:outlineLvl w:val="0"/>
        <w:rPr>
          <w:rFonts w:hint="eastAsia" w:ascii="仿宋_GB2312" w:hAnsi="仿宋_GB2312" w:eastAsia="仿宋_GB2312"/>
          <w:b w:val="0"/>
          <w:bCs w:val="0"/>
          <w:color w:val="auto"/>
          <w:sz w:val="32"/>
          <w:szCs w:val="22"/>
          <w:highlight w:val="none"/>
        </w:rPr>
      </w:pPr>
      <w:r>
        <w:rPr>
          <w:rFonts w:hint="eastAsia" w:ascii="仿宋_GB2312" w:hAnsi="仿宋_GB2312" w:eastAsia="仿宋_GB2312"/>
          <w:b w:val="0"/>
          <w:bCs w:val="0"/>
          <w:color w:val="auto"/>
          <w:sz w:val="32"/>
          <w:szCs w:val="22"/>
          <w:highlight w:val="none"/>
        </w:rPr>
        <w:t>1.解决</w:t>
      </w:r>
      <w:r>
        <w:rPr>
          <w:rFonts w:hint="eastAsia" w:ascii="仿宋_GB2312" w:hAnsi="仿宋_GB2312" w:eastAsia="仿宋_GB2312"/>
          <w:b w:val="0"/>
          <w:bCs w:val="0"/>
          <w:color w:val="auto"/>
          <w:sz w:val="32"/>
          <w:szCs w:val="22"/>
          <w:highlight w:val="none"/>
          <w:lang w:val="en-US" w:eastAsia="zh-CN"/>
        </w:rPr>
        <w:t>本站供电范围内</w:t>
      </w:r>
      <w:r>
        <w:rPr>
          <w:rFonts w:hint="eastAsia" w:ascii="仿宋_GB2312" w:hAnsi="仿宋_GB2312" w:eastAsia="仿宋_GB2312"/>
          <w:b w:val="0"/>
          <w:bCs w:val="0"/>
          <w:color w:val="auto"/>
          <w:sz w:val="32"/>
          <w:szCs w:val="22"/>
          <w:highlight w:val="none"/>
        </w:rPr>
        <w:t>负荷增长导致供电能力不足问题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Times New Roman"/>
          <w:b w:val="0"/>
          <w:color w:val="auto"/>
          <w:sz w:val="32"/>
          <w:highlight w:val="none"/>
          <w:lang w:val="en-US" w:eastAsia="zh-CN"/>
        </w:rPr>
      </w:pPr>
      <w:r>
        <w:rPr>
          <w:rFonts w:hint="eastAsia" w:ascii="仿宋_GB2312" w:hAnsi="仿宋_GB2312" w:eastAsia="仿宋_GB2312" w:cs="Times New Roman"/>
          <w:b w:val="0"/>
          <w:color w:val="auto"/>
          <w:sz w:val="32"/>
          <w:highlight w:val="none"/>
          <w:lang w:val="en-US" w:eastAsia="zh-CN"/>
        </w:rPr>
        <w:t>太平站现状已不满足N-1，随着本站供电范围内广州顺茂科技有限公司等报装负荷的逐步释放，预计2026年太平站负荷将达到70MW，即使考虑近区在建及规划的2026年水南站扩建第三台主变、2027年110kV高埔站建成投产，2030年太平站负荷仍将达到62MW，若不考虑新增主变，太平负载率将分别达到88%和77%，不满足N-1且存在重载运行情况，无法适应负荷增长需求。同时受限于现状太平站#1、#2主变存在变低开关限流值，扩建太平站第三台主变同时需配合太平站#1、#2主变变低开关技改项目（已立项计划2026年12月投产）解决太平站不满足N-1问题，以满足本站供电范围内负荷增长需求。</w:t>
      </w:r>
    </w:p>
    <w:p>
      <w:pPr>
        <w:spacing w:line="560" w:lineRule="exact"/>
        <w:ind w:firstLine="640" w:firstLineChars="200"/>
        <w:outlineLvl w:val="0"/>
        <w:rPr>
          <w:rFonts w:hint="eastAsia" w:ascii="仿宋_GB2312" w:hAnsi="仿宋_GB2312" w:eastAsia="仿宋_GB2312"/>
          <w:b w:val="0"/>
          <w:bCs w:val="0"/>
          <w:color w:val="auto"/>
          <w:sz w:val="32"/>
          <w:szCs w:val="22"/>
          <w:highlight w:val="none"/>
        </w:rPr>
      </w:pPr>
      <w:r>
        <w:rPr>
          <w:rFonts w:hint="eastAsia" w:ascii="仿宋_GB2312" w:hAnsi="仿宋_GB2312" w:eastAsia="仿宋_GB2312"/>
          <w:b w:val="0"/>
          <w:bCs w:val="0"/>
          <w:color w:val="auto"/>
          <w:sz w:val="32"/>
          <w:szCs w:val="22"/>
          <w:highlight w:val="none"/>
        </w:rPr>
        <w:t>2.解决</w:t>
      </w:r>
      <w:r>
        <w:rPr>
          <w:rFonts w:hint="eastAsia" w:ascii="仿宋_GB2312" w:hAnsi="仿宋_GB2312" w:eastAsia="仿宋_GB2312" w:cs="Times New Roman"/>
          <w:color w:val="auto"/>
          <w:sz w:val="32"/>
          <w:szCs w:val="22"/>
          <w:highlight w:val="none"/>
          <w:lang w:val="en-US" w:eastAsia="zh-CN"/>
        </w:rPr>
        <w:t>太平站</w:t>
      </w:r>
      <w:r>
        <w:rPr>
          <w:rFonts w:hint="eastAsia" w:ascii="仿宋_GB2312" w:hAnsi="仿宋_GB2312" w:eastAsia="仿宋_GB2312"/>
          <w:b w:val="0"/>
          <w:bCs w:val="0"/>
          <w:color w:val="auto"/>
          <w:sz w:val="32"/>
          <w:szCs w:val="22"/>
          <w:highlight w:val="none"/>
        </w:rPr>
        <w:t>10kV出线间隔不足问题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Times New Roman"/>
          <w:b w:val="0"/>
          <w:color w:val="auto"/>
          <w:sz w:val="32"/>
          <w:highlight w:val="none"/>
          <w:lang w:val="en-US" w:eastAsia="zh-CN"/>
        </w:rPr>
      </w:pPr>
      <w:r>
        <w:rPr>
          <w:rFonts w:hint="eastAsia" w:ascii="仿宋_GB2312" w:hAnsi="仿宋_GB2312" w:eastAsia="仿宋_GB2312" w:cs="Times New Roman"/>
          <w:color w:val="auto"/>
          <w:sz w:val="32"/>
          <w:szCs w:val="22"/>
          <w:highlight w:val="none"/>
        </w:rPr>
        <w:t>本工程建成后，将新增10kV出线16回，</w:t>
      </w:r>
      <w:r>
        <w:rPr>
          <w:rFonts w:hint="eastAsia" w:ascii="仿宋_GB2312" w:hAnsi="仿宋_GB2312" w:eastAsia="仿宋_GB2312" w:cs="Times New Roman"/>
          <w:color w:val="auto"/>
          <w:sz w:val="32"/>
          <w:szCs w:val="22"/>
          <w:highlight w:val="none"/>
          <w:lang w:val="en-US" w:eastAsia="zh-CN"/>
        </w:rPr>
        <w:t>可</w:t>
      </w:r>
      <w:r>
        <w:rPr>
          <w:rFonts w:hint="eastAsia" w:ascii="仿宋_GB2312" w:hAnsi="仿宋_GB2312" w:eastAsia="仿宋_GB2312" w:cs="Times New Roman"/>
          <w:color w:val="auto"/>
          <w:sz w:val="32"/>
          <w:szCs w:val="22"/>
          <w:highlight w:val="none"/>
        </w:rPr>
        <w:t>满足该区域新增用户供电需求，适应该片区负荷的进一步发展</w:t>
      </w:r>
      <w:r>
        <w:rPr>
          <w:rFonts w:hint="eastAsia" w:ascii="仿宋_GB2312" w:hAnsi="仿宋_GB2312" w:eastAsia="仿宋_GB2312" w:cs="Times New Roman"/>
          <w:color w:val="auto"/>
          <w:sz w:val="32"/>
          <w:szCs w:val="22"/>
          <w:highlight w:val="none"/>
          <w:lang w:eastAsia="zh-CN"/>
        </w:rPr>
        <w:t>；同时加强区域变电站之间的10kV联络，增强故障及检修情况下的互相电力支援能力，提高供电可靠性</w:t>
      </w:r>
      <w:r>
        <w:rPr>
          <w:rFonts w:hint="eastAsia" w:ascii="仿宋_GB2312" w:hAnsi="仿宋_GB2312" w:eastAsia="仿宋_GB2312" w:cs="Times New Roman"/>
          <w:b w:val="0"/>
          <w:color w:val="auto"/>
          <w:sz w:val="32"/>
          <w:highlight w:val="none"/>
          <w:lang w:val="en-US" w:eastAsia="zh-CN"/>
        </w:rPr>
        <w:t>。</w:t>
      </w:r>
    </w:p>
    <w:p>
      <w:pPr>
        <w:pageBreakBefore w:val="0"/>
        <w:kinsoku/>
        <w:wordWrap/>
        <w:overflowPunct/>
        <w:topLinePunct w:val="0"/>
        <w:bidi w:val="0"/>
        <w:snapToGrid/>
        <w:spacing w:before="156" w:beforeLines="50" w:line="560" w:lineRule="exact"/>
        <w:ind w:firstLine="640" w:firstLineChars="200"/>
        <w:outlineLvl w:val="0"/>
        <w:rPr>
          <w:rFonts w:hint="eastAsia" w:ascii="楷体_GB2312" w:hAnsi="楷体_GB2312" w:eastAsia="楷体_GB2312" w:cs="楷体_GB2312"/>
          <w:b w:val="0"/>
          <w:color w:val="auto"/>
          <w:sz w:val="32"/>
          <w:highlight w:val="none"/>
          <w:lang w:eastAsia="zh-CN"/>
        </w:rPr>
      </w:pPr>
      <w:r>
        <w:rPr>
          <w:rFonts w:hint="eastAsia" w:ascii="楷体_GB2312" w:hAnsi="楷体_GB2312" w:eastAsia="楷体_GB2312" w:cs="楷体_GB2312"/>
          <w:b w:val="0"/>
          <w:color w:val="auto"/>
          <w:sz w:val="32"/>
          <w:highlight w:val="none"/>
        </w:rPr>
        <w:t>（四）结论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Times New Roman"/>
          <w:b w:val="0"/>
          <w:color w:val="auto"/>
          <w:sz w:val="32"/>
          <w:highlight w:val="none"/>
          <w:lang w:val="en-US" w:eastAsia="zh-CN"/>
        </w:rPr>
      </w:pPr>
      <w:r>
        <w:rPr>
          <w:rFonts w:hint="eastAsia" w:ascii="仿宋_GB2312" w:hAnsi="仿宋_GB2312" w:eastAsia="仿宋_GB2312" w:cs="Times New Roman"/>
          <w:b w:val="0"/>
          <w:color w:val="auto"/>
          <w:sz w:val="32"/>
          <w:highlight w:val="none"/>
          <w:lang w:val="en-US" w:eastAsia="zh-CN"/>
        </w:rPr>
        <w:t>为满足太平站供电区域内负荷增长需求，本工程并配合110kV太平站#1、#2高压室开关柜更换工程项目投产可解决110kV太平站主变不满足N-1问题，优化片区10kV电网结构，提高近区电网供电可靠性，在“十五五”初期扩建太平站第三台主变是必要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Times New Roman"/>
          <w:b w:val="0"/>
          <w:color w:val="auto"/>
          <w:sz w:val="32"/>
          <w:highlight w:val="none"/>
          <w:lang w:val="en-US" w:eastAsia="zh-CN"/>
        </w:rPr>
      </w:pPr>
      <w:r>
        <w:rPr>
          <w:rFonts w:hint="eastAsia" w:ascii="仿宋_GB2312" w:hAnsi="仿宋_GB2312" w:eastAsia="仿宋_GB2312" w:cs="Times New Roman"/>
          <w:b w:val="0"/>
          <w:color w:val="auto"/>
          <w:sz w:val="32"/>
          <w:highlight w:val="none"/>
          <w:lang w:val="en-US" w:eastAsia="zh-CN"/>
        </w:rPr>
        <w:t>参照《广州供电局管制业务投资管控策略（2024 年版）》（广供电资〔2024〕56 号），本工程属于“优化完善网架-解决C类以上地区高压配电网不满足N-1-解决C类以上地区高压配电网不满足N-1-解决C类及以上地区高压配电网主变或线路不满足N-1问题（考虑下级电网转供后），且在N-1情况下造成区域性供电受限的项目”策略。</w:t>
      </w:r>
    </w:p>
    <w:p>
      <w:pPr>
        <w:pStyle w:val="4"/>
        <w:keepNext/>
        <w:keepLines/>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黑体" w:hAnsi="黑体" w:eastAsia="黑体"/>
          <w:b w:val="0"/>
          <w:bCs/>
          <w:color w:val="auto"/>
          <w:sz w:val="32"/>
          <w:szCs w:val="32"/>
          <w:highlight w:val="none"/>
        </w:rPr>
      </w:pPr>
      <w:r>
        <w:rPr>
          <w:rFonts w:ascii="黑体" w:hAnsi="黑体" w:eastAsia="黑体"/>
          <w:b w:val="0"/>
          <w:bCs/>
          <w:color w:val="auto"/>
          <w:sz w:val="32"/>
          <w:szCs w:val="32"/>
          <w:highlight w:val="none"/>
        </w:rPr>
        <w:t>二、工程接入系统方案</w:t>
      </w:r>
    </w:p>
    <w:p>
      <w:pPr>
        <w:spacing w:line="560" w:lineRule="exact"/>
        <w:ind w:firstLine="640" w:firstLineChars="200"/>
        <w:outlineLvl w:val="0"/>
        <w:rPr>
          <w:rFonts w:hint="eastAsia" w:ascii="仿宋_GB2312" w:hAnsi="仿宋_GB2312" w:eastAsia="仿宋_GB2312" w:cs="Times New Roman"/>
          <w:b w:val="0"/>
          <w:color w:val="auto"/>
          <w:sz w:val="32"/>
          <w:highlight w:val="none"/>
          <w:lang w:val="en-US" w:eastAsia="zh-CN"/>
        </w:rPr>
      </w:pPr>
      <w:r>
        <w:rPr>
          <w:rFonts w:hint="eastAsia" w:ascii="仿宋_GB2312" w:hAnsi="仿宋_GB2312" w:eastAsia="仿宋_GB2312" w:cs="Times New Roman"/>
          <w:b w:val="0"/>
          <w:color w:val="auto"/>
          <w:sz w:val="32"/>
          <w:highlight w:val="none"/>
          <w:lang w:val="en-US" w:eastAsia="zh-CN"/>
        </w:rPr>
        <w:t>本工程推荐接入系统方案为：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Times New Roman"/>
          <w:b w:val="0"/>
          <w:color w:val="auto"/>
          <w:sz w:val="32"/>
          <w:highlight w:val="none"/>
          <w:lang w:val="en-US" w:eastAsia="zh-CN"/>
        </w:rPr>
      </w:pPr>
      <w:r>
        <w:rPr>
          <w:rFonts w:hint="eastAsia" w:ascii="仿宋_GB2312" w:hAnsi="仿宋_GB2312" w:eastAsia="仿宋_GB2312" w:cs="Times New Roman"/>
          <w:b w:val="0"/>
          <w:color w:val="auto"/>
          <w:sz w:val="32"/>
          <w:highlight w:val="none"/>
          <w:lang w:val="en-US" w:eastAsia="zh-CN"/>
        </w:rPr>
        <w:t>1）将太平站110kV绿太乙线在110kV母线</w:t>
      </w:r>
      <w:r>
        <w:rPr>
          <w:rFonts w:hint="eastAsia" w:ascii="仿宋_GB2312" w:hAnsi="仿宋_GB2312" w:eastAsia="仿宋_GB2312"/>
          <w:color w:val="auto"/>
          <w:sz w:val="32"/>
          <w:highlight w:val="none"/>
          <w:lang w:eastAsia="zh-CN"/>
        </w:rPr>
        <w:t>处解断</w:t>
      </w:r>
      <w:r>
        <w:rPr>
          <w:rFonts w:hint="eastAsia" w:ascii="仿宋_GB2312" w:hAnsi="仿宋_GB2312" w:eastAsia="仿宋_GB2312" w:cs="Times New Roman"/>
          <w:b w:val="0"/>
          <w:color w:val="auto"/>
          <w:sz w:val="32"/>
          <w:highlight w:val="none"/>
          <w:lang w:val="en-US" w:eastAsia="zh-CN"/>
        </w:rPr>
        <w:t>，太平#2主变同步进行3T改造接入解断后的110kV绿太乙线，形成110kV绿洲～太平#2主变线路；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Times New Roman"/>
          <w:b w:val="0"/>
          <w:color w:val="auto"/>
          <w:sz w:val="32"/>
          <w:highlight w:val="none"/>
          <w:lang w:val="en-US" w:eastAsia="zh-CN"/>
        </w:rPr>
      </w:pPr>
      <w:r>
        <w:rPr>
          <w:rFonts w:hint="eastAsia" w:ascii="仿宋_GB2312" w:hAnsi="仿宋_GB2312" w:eastAsia="仿宋_GB2312" w:cs="Times New Roman"/>
          <w:b w:val="0"/>
          <w:color w:val="auto"/>
          <w:sz w:val="32"/>
          <w:highlight w:val="none"/>
          <w:lang w:val="en-US" w:eastAsia="zh-CN"/>
        </w:rPr>
        <w:t>2）太平站110kV母线进行分段改造和间隔调整，太平第三台变和110kV汉太线接入其中一段110kV母线，110kV绿太甲线、110kV太利线和太平#1主变接入另一段110kV母线；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Times New Roman"/>
          <w:b w:val="0"/>
          <w:color w:val="auto"/>
          <w:sz w:val="32"/>
          <w:highlight w:val="none"/>
          <w:lang w:val="en-US" w:eastAsia="zh-CN"/>
        </w:rPr>
      </w:pPr>
      <w:r>
        <w:rPr>
          <w:rFonts w:hint="eastAsia" w:ascii="仿宋_GB2312" w:hAnsi="仿宋_GB2312" w:eastAsia="仿宋_GB2312" w:cs="Times New Roman"/>
          <w:b w:val="0"/>
          <w:color w:val="auto"/>
          <w:sz w:val="32"/>
          <w:highlight w:val="none"/>
          <w:lang w:val="en-US" w:eastAsia="zh-CN"/>
        </w:rPr>
        <w:t>3）同步对110kV汉太线部分线路增容改造。</w:t>
      </w:r>
      <w:r>
        <w:rPr>
          <w:rFonts w:hint="eastAsia" w:ascii="仿宋_GB2312" w:hAnsi="仿宋_GB2312" w:eastAsia="仿宋_GB2312" w:cs="Times New Roman"/>
          <w:b w:val="0"/>
          <w:color w:val="auto"/>
          <w:sz w:val="32"/>
          <w:highlight w:val="none"/>
          <w:lang w:val="en-US" w:eastAsia="zh-CN"/>
        </w:rPr>
        <w:tab/>
      </w:r>
    </w:p>
    <w:p>
      <w:pPr>
        <w:pStyle w:val="4"/>
        <w:keepNext/>
        <w:keepLines/>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ascii="黑体" w:hAnsi="黑体" w:eastAsia="黑体"/>
          <w:b w:val="0"/>
          <w:bCs/>
          <w:color w:val="auto"/>
          <w:sz w:val="32"/>
          <w:szCs w:val="32"/>
          <w:highlight w:val="none"/>
        </w:rPr>
      </w:pPr>
      <w:r>
        <w:rPr>
          <w:rFonts w:hint="eastAsia" w:ascii="黑体" w:hAnsi="黑体" w:eastAsia="黑体"/>
          <w:b w:val="0"/>
          <w:bCs/>
          <w:color w:val="auto"/>
          <w:sz w:val="32"/>
          <w:szCs w:val="32"/>
          <w:highlight w:val="none"/>
          <w:lang w:eastAsia="zh-CN"/>
        </w:rPr>
        <w:t>三、</w:t>
      </w:r>
      <w:r>
        <w:rPr>
          <w:rFonts w:ascii="黑体" w:hAnsi="黑体" w:eastAsia="黑体"/>
          <w:b w:val="0"/>
          <w:bCs/>
          <w:color w:val="auto"/>
          <w:sz w:val="32"/>
          <w:szCs w:val="32"/>
          <w:highlight w:val="none"/>
        </w:rPr>
        <w:t>建设规模</w:t>
      </w:r>
    </w:p>
    <w:tbl>
      <w:tblPr>
        <w:tblStyle w:val="12"/>
        <w:tblW w:w="9133" w:type="dxa"/>
        <w:jc w:val="cente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96"/>
        <w:gridCol w:w="2039"/>
        <w:gridCol w:w="2958"/>
        <w:gridCol w:w="3640"/>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49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left"/>
              <w:rPr>
                <w:rFonts w:hint="default" w:ascii="仿宋_GB2312" w:hAnsi="仿宋_GB2312" w:eastAsia="仿宋_GB2312" w:cs="Times New Roman"/>
                <w:b w:val="0"/>
                <w:color w:val="auto"/>
                <w:sz w:val="28"/>
                <w:szCs w:val="28"/>
                <w:highlight w:val="none"/>
              </w:rPr>
            </w:pPr>
            <w:r>
              <w:rPr>
                <w:rFonts w:hint="default" w:ascii="仿宋_GB2312" w:hAnsi="仿宋_GB2312" w:eastAsia="仿宋_GB2312" w:cs="Times New Roman"/>
                <w:b w:val="0"/>
                <w:color w:val="auto"/>
                <w:sz w:val="28"/>
                <w:szCs w:val="28"/>
                <w:highlight w:val="none"/>
              </w:rPr>
              <w:t>序</w:t>
            </w:r>
          </w:p>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left"/>
              <w:rPr>
                <w:rFonts w:hint="default" w:ascii="仿宋_GB2312" w:hAnsi="仿宋_GB2312" w:eastAsia="仿宋_GB2312" w:cs="Times New Roman"/>
                <w:b w:val="0"/>
                <w:color w:val="auto"/>
                <w:sz w:val="28"/>
                <w:szCs w:val="28"/>
                <w:highlight w:val="none"/>
              </w:rPr>
            </w:pPr>
            <w:r>
              <w:rPr>
                <w:rFonts w:hint="default" w:ascii="仿宋_GB2312" w:hAnsi="仿宋_GB2312" w:eastAsia="仿宋_GB2312" w:cs="Times New Roman"/>
                <w:b w:val="0"/>
                <w:color w:val="auto"/>
                <w:sz w:val="28"/>
                <w:szCs w:val="28"/>
                <w:highlight w:val="none"/>
              </w:rPr>
              <w:t>号</w:t>
            </w:r>
          </w:p>
        </w:tc>
        <w:tc>
          <w:tcPr>
            <w:tcW w:w="2039" w:type="dxa"/>
            <w:tcBorders>
              <w:top w:val="single" w:color="auto" w:sz="4" w:space="0"/>
              <w:left w:val="single" w:color="auto" w:sz="4" w:space="0"/>
              <w:bottom w:val="single" w:color="auto" w:sz="4" w:space="0"/>
              <w:right w:val="single" w:color="auto" w:sz="4" w:space="0"/>
              <w:tl2br w:val="single" w:color="000000" w:sz="6" w:space="0"/>
            </w:tcBorders>
            <w:noWrap w:val="0"/>
            <w:vAlign w:val="top"/>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right="0" w:firstLine="1120" w:firstLineChars="400"/>
              <w:jc w:val="left"/>
              <w:rPr>
                <w:rFonts w:hint="default" w:ascii="仿宋_GB2312" w:hAnsi="仿宋_GB2312" w:eastAsia="仿宋_GB2312" w:cs="Times New Roman"/>
                <w:b w:val="0"/>
                <w:color w:val="auto"/>
                <w:sz w:val="28"/>
                <w:szCs w:val="28"/>
                <w:highlight w:val="none"/>
                <w:lang w:val="en-US" w:eastAsia="zh-CN"/>
              </w:rPr>
            </w:pPr>
            <w:r>
              <w:rPr>
                <w:rFonts w:hint="default" w:ascii="仿宋_GB2312" w:hAnsi="仿宋_GB2312" w:eastAsia="仿宋_GB2312" w:cs="Times New Roman"/>
                <w:b w:val="0"/>
                <w:color w:val="auto"/>
                <w:sz w:val="28"/>
                <w:szCs w:val="28"/>
                <w:highlight w:val="none"/>
                <w:lang w:val="en-US" w:eastAsia="zh-CN"/>
              </w:rPr>
              <w:t>规 模</w:t>
            </w:r>
          </w:p>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left"/>
              <w:rPr>
                <w:rFonts w:hint="default" w:ascii="仿宋_GB2312" w:hAnsi="仿宋_GB2312" w:eastAsia="仿宋_GB2312" w:cs="Times New Roman"/>
                <w:b w:val="0"/>
                <w:color w:val="auto"/>
                <w:sz w:val="28"/>
                <w:szCs w:val="28"/>
                <w:highlight w:val="none"/>
              </w:rPr>
            </w:pPr>
            <w:r>
              <w:rPr>
                <w:rFonts w:hint="default" w:ascii="仿宋_GB2312" w:hAnsi="仿宋_GB2312" w:eastAsia="仿宋_GB2312" w:cs="Times New Roman"/>
                <w:b w:val="0"/>
                <w:color w:val="auto"/>
                <w:sz w:val="28"/>
                <w:szCs w:val="28"/>
                <w:highlight w:val="none"/>
              </w:rPr>
              <w:t>项</w:t>
            </w:r>
            <w:r>
              <w:rPr>
                <w:rFonts w:hint="default" w:ascii="仿宋_GB2312" w:hAnsi="仿宋_GB2312" w:eastAsia="仿宋_GB2312" w:cs="Times New Roman"/>
                <w:b w:val="0"/>
                <w:color w:val="auto"/>
                <w:sz w:val="28"/>
                <w:szCs w:val="28"/>
                <w:highlight w:val="none"/>
                <w:lang w:val="en-US" w:eastAsia="zh-CN"/>
              </w:rPr>
              <w:t xml:space="preserve"> </w:t>
            </w:r>
            <w:r>
              <w:rPr>
                <w:rFonts w:hint="default" w:ascii="仿宋_GB2312" w:hAnsi="仿宋_GB2312" w:eastAsia="仿宋_GB2312" w:cs="Times New Roman"/>
                <w:b w:val="0"/>
                <w:color w:val="auto"/>
                <w:sz w:val="28"/>
                <w:szCs w:val="28"/>
                <w:highlight w:val="none"/>
              </w:rPr>
              <w:t>目</w:t>
            </w:r>
          </w:p>
        </w:tc>
        <w:tc>
          <w:tcPr>
            <w:tcW w:w="2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default" w:ascii="仿宋_GB2312" w:hAnsi="仿宋_GB2312" w:eastAsia="仿宋_GB2312" w:cs="Times New Roman"/>
                <w:b w:val="0"/>
                <w:color w:val="auto"/>
                <w:sz w:val="28"/>
                <w:szCs w:val="28"/>
                <w:highlight w:val="none"/>
              </w:rPr>
            </w:pPr>
            <w:r>
              <w:rPr>
                <w:rFonts w:hint="eastAsia" w:ascii="仿宋_GB2312" w:hAnsi="仿宋_GB2312" w:eastAsia="仿宋_GB2312" w:cs="Times New Roman"/>
                <w:b w:val="0"/>
                <w:color w:val="auto"/>
                <w:sz w:val="28"/>
                <w:szCs w:val="28"/>
                <w:highlight w:val="none"/>
                <w:lang w:val="en-US" w:eastAsia="zh-CN"/>
              </w:rPr>
              <w:t>现状</w:t>
            </w:r>
            <w:r>
              <w:rPr>
                <w:rFonts w:hint="default" w:ascii="仿宋_GB2312" w:hAnsi="仿宋_GB2312" w:eastAsia="仿宋_GB2312" w:cs="Times New Roman"/>
                <w:b w:val="0"/>
                <w:color w:val="auto"/>
                <w:sz w:val="28"/>
                <w:szCs w:val="28"/>
                <w:highlight w:val="none"/>
              </w:rPr>
              <w:t>规模</w:t>
            </w:r>
          </w:p>
        </w:tc>
        <w:tc>
          <w:tcPr>
            <w:tcW w:w="36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default" w:ascii="仿宋_GB2312" w:hAnsi="仿宋_GB2312" w:eastAsia="仿宋_GB2312" w:cs="Times New Roman"/>
                <w:b w:val="0"/>
                <w:color w:val="auto"/>
                <w:sz w:val="28"/>
                <w:szCs w:val="28"/>
                <w:highlight w:val="none"/>
              </w:rPr>
            </w:pPr>
            <w:r>
              <w:rPr>
                <w:rFonts w:hint="eastAsia" w:ascii="仿宋_GB2312" w:hAnsi="仿宋_GB2312" w:eastAsia="仿宋_GB2312" w:cs="Times New Roman"/>
                <w:b w:val="0"/>
                <w:color w:val="auto"/>
                <w:sz w:val="28"/>
                <w:szCs w:val="28"/>
                <w:highlight w:val="none"/>
                <w:lang w:val="en-US" w:eastAsia="zh-CN"/>
              </w:rPr>
              <w:t>本期</w:t>
            </w:r>
            <w:r>
              <w:rPr>
                <w:rFonts w:hint="default" w:ascii="仿宋_GB2312" w:hAnsi="仿宋_GB2312" w:eastAsia="仿宋_GB2312" w:cs="Times New Roman"/>
                <w:b w:val="0"/>
                <w:color w:val="auto"/>
                <w:sz w:val="28"/>
                <w:szCs w:val="28"/>
                <w:highlight w:val="none"/>
              </w:rPr>
              <w:t>规模</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4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default" w:ascii="仿宋_GB2312" w:hAnsi="仿宋_GB2312" w:eastAsia="仿宋_GB2312" w:cs="Times New Roman"/>
                <w:b w:val="0"/>
                <w:color w:val="auto"/>
                <w:sz w:val="28"/>
                <w:szCs w:val="28"/>
                <w:highlight w:val="none"/>
              </w:rPr>
            </w:pPr>
            <w:r>
              <w:rPr>
                <w:rFonts w:hint="default" w:ascii="仿宋_GB2312" w:hAnsi="仿宋_GB2312" w:eastAsia="仿宋_GB2312" w:cs="Times New Roman"/>
                <w:b w:val="0"/>
                <w:color w:val="auto"/>
                <w:sz w:val="28"/>
                <w:szCs w:val="28"/>
                <w:highlight w:val="none"/>
              </w:rPr>
              <w:t>1</w:t>
            </w:r>
          </w:p>
        </w:tc>
        <w:tc>
          <w:tcPr>
            <w:tcW w:w="203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default" w:ascii="仿宋_GB2312" w:hAnsi="仿宋_GB2312" w:eastAsia="仿宋_GB2312" w:cs="Times New Roman"/>
                <w:b w:val="0"/>
                <w:color w:val="auto"/>
                <w:sz w:val="28"/>
                <w:szCs w:val="28"/>
                <w:highlight w:val="none"/>
              </w:rPr>
            </w:pPr>
            <w:r>
              <w:rPr>
                <w:rFonts w:hint="default" w:ascii="仿宋_GB2312" w:hAnsi="仿宋_GB2312" w:eastAsia="仿宋_GB2312" w:cs="Times New Roman"/>
                <w:b w:val="0"/>
                <w:color w:val="auto"/>
                <w:sz w:val="28"/>
                <w:szCs w:val="28"/>
                <w:highlight w:val="none"/>
              </w:rPr>
              <w:t>主变压器台数及容量</w:t>
            </w:r>
          </w:p>
        </w:tc>
        <w:tc>
          <w:tcPr>
            <w:tcW w:w="2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default" w:ascii="仿宋_GB2312" w:hAnsi="仿宋_GB2312" w:eastAsia="仿宋_GB2312" w:cs="Times New Roman"/>
                <w:b w:val="0"/>
                <w:color w:val="auto"/>
                <w:sz w:val="28"/>
                <w:szCs w:val="28"/>
                <w:highlight w:val="none"/>
                <w:lang w:val="en-US" w:eastAsia="zh-CN"/>
              </w:rPr>
            </w:pPr>
            <w:r>
              <w:rPr>
                <w:rFonts w:hint="eastAsia" w:ascii="仿宋_GB2312" w:hAnsi="仿宋_GB2312" w:eastAsia="仿宋_GB2312" w:cs="Times New Roman"/>
                <w:b w:val="0"/>
                <w:color w:val="auto"/>
                <w:sz w:val="28"/>
                <w:szCs w:val="28"/>
                <w:highlight w:val="none"/>
                <w:lang w:val="en-US" w:eastAsia="zh-CN"/>
              </w:rPr>
              <w:t>2</w:t>
            </w:r>
            <w:r>
              <w:rPr>
                <w:rFonts w:hint="default" w:ascii="仿宋_GB2312" w:hAnsi="仿宋_GB2312" w:eastAsia="仿宋_GB2312" w:cs="Times New Roman"/>
                <w:b w:val="0"/>
                <w:color w:val="auto"/>
                <w:sz w:val="28"/>
                <w:szCs w:val="28"/>
                <w:highlight w:val="none"/>
              </w:rPr>
              <w:t>×</w:t>
            </w:r>
            <w:r>
              <w:rPr>
                <w:rFonts w:hint="eastAsia" w:ascii="仿宋_GB2312" w:hAnsi="仿宋_GB2312" w:eastAsia="仿宋_GB2312" w:cs="Times New Roman"/>
                <w:b w:val="0"/>
                <w:color w:val="auto"/>
                <w:sz w:val="28"/>
                <w:szCs w:val="28"/>
                <w:highlight w:val="none"/>
                <w:lang w:val="en-US" w:eastAsia="zh-CN"/>
              </w:rPr>
              <w:t>40</w:t>
            </w:r>
            <w:r>
              <w:rPr>
                <w:rFonts w:hint="default" w:ascii="仿宋_GB2312" w:hAnsi="仿宋_GB2312" w:eastAsia="仿宋_GB2312" w:cs="Times New Roman"/>
                <w:b w:val="0"/>
                <w:color w:val="auto"/>
                <w:sz w:val="28"/>
                <w:szCs w:val="28"/>
                <w:highlight w:val="none"/>
              </w:rPr>
              <w:t>MVA</w:t>
            </w:r>
          </w:p>
        </w:tc>
        <w:tc>
          <w:tcPr>
            <w:tcW w:w="36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default" w:ascii="仿宋_GB2312" w:hAnsi="仿宋_GB2312" w:eastAsia="仿宋_GB2312" w:cs="Times New Roman"/>
                <w:b w:val="0"/>
                <w:color w:val="auto"/>
                <w:sz w:val="28"/>
                <w:szCs w:val="28"/>
                <w:highlight w:val="none"/>
              </w:rPr>
            </w:pPr>
            <w:r>
              <w:rPr>
                <w:rFonts w:hint="eastAsia" w:ascii="仿宋_GB2312" w:hAnsi="仿宋_GB2312" w:eastAsia="仿宋_GB2312" w:cs="Times New Roman"/>
                <w:b w:val="0"/>
                <w:color w:val="auto"/>
                <w:sz w:val="28"/>
                <w:szCs w:val="28"/>
                <w:highlight w:val="none"/>
                <w:lang w:val="en-US" w:eastAsia="zh-CN"/>
              </w:rPr>
              <w:t>1</w:t>
            </w:r>
            <w:r>
              <w:rPr>
                <w:rFonts w:hint="default" w:ascii="仿宋_GB2312" w:hAnsi="仿宋_GB2312" w:eastAsia="仿宋_GB2312" w:cs="Times New Roman"/>
                <w:b w:val="0"/>
                <w:color w:val="auto"/>
                <w:sz w:val="28"/>
                <w:szCs w:val="28"/>
                <w:highlight w:val="none"/>
              </w:rPr>
              <w:t>×</w:t>
            </w:r>
            <w:r>
              <w:rPr>
                <w:rFonts w:hint="eastAsia" w:ascii="仿宋_GB2312" w:hAnsi="仿宋_GB2312" w:eastAsia="仿宋_GB2312" w:cs="Times New Roman"/>
                <w:b w:val="0"/>
                <w:color w:val="auto"/>
                <w:sz w:val="28"/>
                <w:szCs w:val="28"/>
                <w:highlight w:val="none"/>
                <w:lang w:val="en-US" w:eastAsia="zh-CN"/>
              </w:rPr>
              <w:t>63</w:t>
            </w:r>
            <w:r>
              <w:rPr>
                <w:rFonts w:hint="default" w:ascii="仿宋_GB2312" w:hAnsi="仿宋_GB2312" w:eastAsia="仿宋_GB2312" w:cs="Times New Roman"/>
                <w:b w:val="0"/>
                <w:color w:val="auto"/>
                <w:sz w:val="28"/>
                <w:szCs w:val="28"/>
                <w:highlight w:val="none"/>
              </w:rPr>
              <w:t>MVA</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4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default" w:ascii="仿宋_GB2312" w:hAnsi="仿宋_GB2312" w:eastAsia="仿宋_GB2312" w:cs="Times New Roman"/>
                <w:b w:val="0"/>
                <w:color w:val="auto"/>
                <w:sz w:val="28"/>
                <w:szCs w:val="28"/>
                <w:highlight w:val="none"/>
              </w:rPr>
            </w:pPr>
            <w:r>
              <w:rPr>
                <w:rFonts w:hint="default" w:ascii="仿宋_GB2312" w:hAnsi="仿宋_GB2312" w:eastAsia="仿宋_GB2312" w:cs="Times New Roman"/>
                <w:b w:val="0"/>
                <w:color w:val="auto"/>
                <w:sz w:val="28"/>
                <w:szCs w:val="28"/>
                <w:highlight w:val="none"/>
              </w:rPr>
              <w:t>2</w:t>
            </w:r>
          </w:p>
        </w:tc>
        <w:tc>
          <w:tcPr>
            <w:tcW w:w="2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default" w:ascii="仿宋_GB2312" w:hAnsi="仿宋_GB2312" w:eastAsia="仿宋_GB2312" w:cs="Times New Roman"/>
                <w:b w:val="0"/>
                <w:color w:val="auto"/>
                <w:sz w:val="28"/>
                <w:szCs w:val="28"/>
                <w:highlight w:val="none"/>
              </w:rPr>
            </w:pPr>
            <w:r>
              <w:rPr>
                <w:rFonts w:hint="default" w:ascii="仿宋_GB2312" w:hAnsi="仿宋_GB2312" w:eastAsia="仿宋_GB2312" w:cs="Times New Roman"/>
                <w:b w:val="0"/>
                <w:color w:val="auto"/>
                <w:sz w:val="28"/>
                <w:szCs w:val="28"/>
                <w:highlight w:val="none"/>
                <w:lang w:val="en-US" w:eastAsia="zh-CN"/>
              </w:rPr>
              <w:t>11</w:t>
            </w:r>
            <w:r>
              <w:rPr>
                <w:rFonts w:hint="default" w:ascii="仿宋_GB2312" w:hAnsi="仿宋_GB2312" w:eastAsia="仿宋_GB2312" w:cs="Times New Roman"/>
                <w:b w:val="0"/>
                <w:color w:val="auto"/>
                <w:sz w:val="28"/>
                <w:szCs w:val="28"/>
                <w:highlight w:val="none"/>
              </w:rPr>
              <w:t>0kV出线</w:t>
            </w:r>
          </w:p>
        </w:tc>
        <w:tc>
          <w:tcPr>
            <w:tcW w:w="2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default" w:ascii="仿宋_GB2312" w:hAnsi="仿宋_GB2312" w:eastAsia="仿宋_GB2312" w:cs="Times New Roman"/>
                <w:b w:val="0"/>
                <w:color w:val="auto"/>
                <w:sz w:val="28"/>
                <w:szCs w:val="28"/>
                <w:highlight w:val="none"/>
                <w:lang w:val="en-US" w:eastAsia="zh-CN"/>
              </w:rPr>
            </w:pPr>
            <w:r>
              <w:rPr>
                <w:rFonts w:hint="eastAsia" w:ascii="仿宋_GB2312" w:hAnsi="仿宋_GB2312" w:eastAsia="仿宋_GB2312" w:cs="Times New Roman"/>
                <w:b w:val="0"/>
                <w:color w:val="auto"/>
                <w:sz w:val="28"/>
                <w:szCs w:val="28"/>
                <w:highlight w:val="none"/>
                <w:lang w:val="en-US" w:eastAsia="zh-CN"/>
              </w:rPr>
              <w:t>4</w:t>
            </w:r>
            <w:r>
              <w:rPr>
                <w:rFonts w:hint="default" w:ascii="仿宋_GB2312" w:hAnsi="仿宋_GB2312" w:eastAsia="仿宋_GB2312" w:cs="Times New Roman"/>
                <w:b w:val="0"/>
                <w:color w:val="auto"/>
                <w:sz w:val="28"/>
                <w:szCs w:val="28"/>
                <w:highlight w:val="none"/>
              </w:rPr>
              <w:t>回</w:t>
            </w:r>
          </w:p>
        </w:tc>
        <w:tc>
          <w:tcPr>
            <w:tcW w:w="36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eastAsia" w:ascii="仿宋_GB2312" w:hAnsi="仿宋_GB2312" w:eastAsia="仿宋_GB2312" w:cs="Times New Roman"/>
                <w:b w:val="0"/>
                <w:color w:val="auto"/>
                <w:sz w:val="28"/>
                <w:szCs w:val="28"/>
                <w:highlight w:val="none"/>
                <w:lang w:eastAsia="zh-CN"/>
              </w:rPr>
            </w:pPr>
            <w:r>
              <w:rPr>
                <w:rFonts w:hint="eastAsia" w:ascii="仿宋_GB2312" w:hAnsi="仿宋_GB2312" w:eastAsia="仿宋_GB2312"/>
                <w:color w:val="auto"/>
                <w:sz w:val="28"/>
                <w:szCs w:val="28"/>
                <w:highlight w:val="none"/>
                <w:lang w:eastAsia="zh-CN"/>
              </w:rPr>
              <w:t>无</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87" w:hRule="atLeast"/>
          <w:jc w:val="center"/>
        </w:trPr>
        <w:tc>
          <w:tcPr>
            <w:tcW w:w="4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default" w:ascii="仿宋_GB2312" w:hAnsi="仿宋_GB2312" w:eastAsia="仿宋_GB2312" w:cs="Times New Roman"/>
                <w:b w:val="0"/>
                <w:color w:val="auto"/>
                <w:sz w:val="28"/>
                <w:szCs w:val="28"/>
                <w:highlight w:val="none"/>
              </w:rPr>
            </w:pPr>
            <w:r>
              <w:rPr>
                <w:rFonts w:hint="default" w:ascii="仿宋_GB2312" w:hAnsi="仿宋_GB2312" w:eastAsia="仿宋_GB2312" w:cs="Times New Roman"/>
                <w:b w:val="0"/>
                <w:color w:val="auto"/>
                <w:sz w:val="28"/>
                <w:szCs w:val="28"/>
                <w:highlight w:val="none"/>
              </w:rPr>
              <w:t>3</w:t>
            </w:r>
          </w:p>
        </w:tc>
        <w:tc>
          <w:tcPr>
            <w:tcW w:w="2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default" w:ascii="仿宋_GB2312" w:hAnsi="仿宋_GB2312" w:eastAsia="仿宋_GB2312" w:cs="Times New Roman"/>
                <w:b w:val="0"/>
                <w:color w:val="auto"/>
                <w:sz w:val="28"/>
                <w:szCs w:val="28"/>
                <w:highlight w:val="none"/>
              </w:rPr>
            </w:pPr>
            <w:r>
              <w:rPr>
                <w:rFonts w:hint="default" w:ascii="仿宋_GB2312" w:hAnsi="仿宋_GB2312" w:eastAsia="仿宋_GB2312" w:cs="Times New Roman"/>
                <w:b w:val="0"/>
                <w:color w:val="auto"/>
                <w:sz w:val="28"/>
                <w:szCs w:val="28"/>
                <w:highlight w:val="none"/>
              </w:rPr>
              <w:t>10kV出线</w:t>
            </w:r>
          </w:p>
        </w:tc>
        <w:tc>
          <w:tcPr>
            <w:tcW w:w="2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default" w:ascii="仿宋_GB2312" w:hAnsi="仿宋_GB2312" w:eastAsia="仿宋_GB2312" w:cs="Times New Roman"/>
                <w:b w:val="0"/>
                <w:color w:val="auto"/>
                <w:sz w:val="28"/>
                <w:szCs w:val="28"/>
                <w:highlight w:val="none"/>
                <w:lang w:val="en-US" w:eastAsia="zh-CN"/>
              </w:rPr>
            </w:pPr>
            <w:r>
              <w:rPr>
                <w:rFonts w:hint="eastAsia" w:ascii="仿宋_GB2312" w:hAnsi="仿宋_GB2312" w:eastAsia="仿宋_GB2312" w:cs="Times New Roman"/>
                <w:b w:val="0"/>
                <w:color w:val="auto"/>
                <w:sz w:val="28"/>
                <w:szCs w:val="28"/>
                <w:highlight w:val="none"/>
                <w:lang w:val="en-US" w:eastAsia="zh-CN"/>
              </w:rPr>
              <w:t>20</w:t>
            </w:r>
            <w:r>
              <w:rPr>
                <w:rFonts w:hint="default" w:ascii="仿宋_GB2312" w:hAnsi="仿宋_GB2312" w:eastAsia="仿宋_GB2312" w:cs="Times New Roman"/>
                <w:b w:val="0"/>
                <w:color w:val="auto"/>
                <w:sz w:val="28"/>
                <w:szCs w:val="28"/>
                <w:highlight w:val="none"/>
                <w:lang w:val="en-US" w:eastAsia="zh-CN"/>
              </w:rPr>
              <w:t>回</w:t>
            </w:r>
          </w:p>
        </w:tc>
        <w:tc>
          <w:tcPr>
            <w:tcW w:w="36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eastAsia" w:ascii="仿宋_GB2312" w:hAnsi="仿宋_GB2312" w:eastAsia="仿宋_GB2312" w:cs="Times New Roman"/>
                <w:b w:val="0"/>
                <w:color w:val="auto"/>
                <w:sz w:val="28"/>
                <w:szCs w:val="28"/>
                <w:highlight w:val="none"/>
              </w:rPr>
            </w:pPr>
            <w:r>
              <w:rPr>
                <w:rFonts w:hint="eastAsia" w:ascii="仿宋_GB2312" w:hAnsi="仿宋_GB2312" w:eastAsia="仿宋_GB2312" w:cs="Times New Roman"/>
                <w:b w:val="0"/>
                <w:color w:val="auto"/>
                <w:sz w:val="28"/>
                <w:szCs w:val="28"/>
                <w:highlight w:val="none"/>
                <w:lang w:val="en-US" w:eastAsia="zh-CN"/>
              </w:rPr>
              <w:t>16</w:t>
            </w:r>
            <w:r>
              <w:rPr>
                <w:rFonts w:hint="default" w:ascii="仿宋_GB2312" w:hAnsi="仿宋_GB2312" w:eastAsia="仿宋_GB2312" w:cs="Times New Roman"/>
                <w:b w:val="0"/>
                <w:color w:val="auto"/>
                <w:sz w:val="28"/>
                <w:szCs w:val="28"/>
                <w:highlight w:val="none"/>
                <w:lang w:val="en-US" w:eastAsia="zh-CN"/>
              </w:rPr>
              <w:t>回</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780" w:hRule="atLeast"/>
          <w:jc w:val="center"/>
        </w:trPr>
        <w:tc>
          <w:tcPr>
            <w:tcW w:w="4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eastAsia" w:ascii="仿宋_GB2312" w:hAnsi="仿宋_GB2312" w:eastAsia="仿宋_GB2312" w:cs="Times New Roman"/>
                <w:b w:val="0"/>
                <w:color w:val="auto"/>
                <w:sz w:val="28"/>
                <w:szCs w:val="28"/>
                <w:highlight w:val="none"/>
              </w:rPr>
            </w:pPr>
            <w:r>
              <w:rPr>
                <w:rFonts w:hint="eastAsia" w:ascii="仿宋_GB2312" w:hAnsi="仿宋_GB2312" w:eastAsia="仿宋_GB2312" w:cs="Times New Roman"/>
                <w:b w:val="0"/>
                <w:color w:val="auto"/>
                <w:sz w:val="28"/>
                <w:szCs w:val="28"/>
                <w:highlight w:val="none"/>
              </w:rPr>
              <w:t>4</w:t>
            </w:r>
          </w:p>
        </w:tc>
        <w:tc>
          <w:tcPr>
            <w:tcW w:w="2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eastAsia" w:ascii="仿宋_GB2312" w:hAnsi="仿宋_GB2312" w:eastAsia="仿宋_GB2312" w:cs="Times New Roman"/>
                <w:b w:val="0"/>
                <w:color w:val="auto"/>
                <w:sz w:val="28"/>
                <w:szCs w:val="28"/>
                <w:highlight w:val="none"/>
              </w:rPr>
            </w:pPr>
            <w:r>
              <w:rPr>
                <w:rFonts w:hint="eastAsia" w:ascii="仿宋_GB2312" w:hAnsi="仿宋_GB2312" w:eastAsia="仿宋_GB2312" w:cs="Times New Roman"/>
                <w:b w:val="0"/>
                <w:color w:val="auto"/>
                <w:sz w:val="28"/>
                <w:szCs w:val="28"/>
                <w:highlight w:val="none"/>
              </w:rPr>
              <w:t>10kV无功补偿</w:t>
            </w:r>
          </w:p>
        </w:tc>
        <w:tc>
          <w:tcPr>
            <w:tcW w:w="2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default" w:ascii="仿宋_GB2312" w:hAnsi="仿宋_GB2312" w:eastAsia="仿宋_GB2312" w:cs="Times New Roman"/>
                <w:b w:val="0"/>
                <w:color w:val="auto"/>
                <w:sz w:val="28"/>
                <w:szCs w:val="28"/>
                <w:highlight w:val="none"/>
              </w:rPr>
            </w:pPr>
            <w:r>
              <w:rPr>
                <w:rFonts w:hint="default" w:ascii="仿宋_GB2312" w:hAnsi="仿宋_GB2312" w:eastAsia="仿宋_GB2312" w:cs="Times New Roman"/>
                <w:b w:val="0"/>
                <w:color w:val="auto"/>
                <w:sz w:val="28"/>
                <w:szCs w:val="28"/>
                <w:highlight w:val="none"/>
                <w:lang w:val="en-US" w:eastAsia="zh-CN"/>
              </w:rPr>
              <w:t>并联</w:t>
            </w:r>
            <w:r>
              <w:rPr>
                <w:rFonts w:hint="default" w:ascii="仿宋_GB2312" w:hAnsi="仿宋_GB2312" w:eastAsia="仿宋_GB2312" w:cs="Times New Roman"/>
                <w:b w:val="0"/>
                <w:color w:val="auto"/>
                <w:sz w:val="28"/>
                <w:szCs w:val="28"/>
                <w:highlight w:val="none"/>
              </w:rPr>
              <w:t>电容器组：</w:t>
            </w:r>
            <w:r>
              <w:rPr>
                <w:rFonts w:hint="eastAsia" w:ascii="仿宋_GB2312" w:hAnsi="仿宋_GB2312" w:eastAsia="仿宋_GB2312" w:cs="Times New Roman"/>
                <w:b w:val="0"/>
                <w:color w:val="auto"/>
                <w:sz w:val="28"/>
                <w:szCs w:val="28"/>
                <w:highlight w:val="none"/>
                <w:lang w:val="en-US" w:eastAsia="zh-CN"/>
              </w:rPr>
              <w:t>2</w:t>
            </w:r>
            <w:r>
              <w:rPr>
                <w:rFonts w:hint="default" w:ascii="仿宋_GB2312" w:hAnsi="仿宋_GB2312" w:eastAsia="仿宋_GB2312" w:cs="Times New Roman"/>
                <w:b w:val="0"/>
                <w:color w:val="auto"/>
                <w:sz w:val="28"/>
                <w:szCs w:val="28"/>
                <w:highlight w:val="none"/>
              </w:rPr>
              <w:t>×</w:t>
            </w:r>
            <w:r>
              <w:rPr>
                <w:rFonts w:hint="default" w:ascii="仿宋_GB2312" w:hAnsi="仿宋_GB2312" w:eastAsia="仿宋_GB2312" w:cs="Times New Roman"/>
                <w:b w:val="0"/>
                <w:color w:val="auto"/>
                <w:sz w:val="28"/>
                <w:szCs w:val="28"/>
                <w:highlight w:val="none"/>
                <w:lang w:val="en-US" w:eastAsia="zh-CN"/>
              </w:rPr>
              <w:t>2</w:t>
            </w:r>
            <w:r>
              <w:rPr>
                <w:rFonts w:hint="default" w:ascii="仿宋_GB2312" w:hAnsi="仿宋_GB2312" w:eastAsia="仿宋_GB2312" w:cs="Times New Roman"/>
                <w:b w:val="0"/>
                <w:color w:val="auto"/>
                <w:sz w:val="28"/>
                <w:szCs w:val="28"/>
                <w:highlight w:val="none"/>
              </w:rPr>
              <w:t>×</w:t>
            </w:r>
            <w:r>
              <w:rPr>
                <w:rFonts w:hint="eastAsia" w:ascii="仿宋_GB2312" w:hAnsi="仿宋_GB2312" w:eastAsia="仿宋_GB2312" w:cs="Times New Roman"/>
                <w:b w:val="0"/>
                <w:color w:val="auto"/>
                <w:sz w:val="28"/>
                <w:szCs w:val="28"/>
                <w:highlight w:val="none"/>
                <w:lang w:val="en-US" w:eastAsia="zh-CN"/>
              </w:rPr>
              <w:t>3</w:t>
            </w:r>
            <w:r>
              <w:rPr>
                <w:rFonts w:hint="default" w:ascii="仿宋_GB2312" w:hAnsi="仿宋_GB2312" w:eastAsia="仿宋_GB2312" w:cs="Times New Roman"/>
                <w:b w:val="0"/>
                <w:color w:val="auto"/>
                <w:sz w:val="28"/>
                <w:szCs w:val="28"/>
                <w:highlight w:val="none"/>
                <w:lang w:val="en-US" w:eastAsia="zh-CN"/>
              </w:rPr>
              <w:t>M</w:t>
            </w:r>
            <w:r>
              <w:rPr>
                <w:rFonts w:hint="default" w:ascii="仿宋_GB2312" w:hAnsi="仿宋_GB2312" w:eastAsia="仿宋_GB2312" w:cs="Times New Roman"/>
                <w:b w:val="0"/>
                <w:color w:val="auto"/>
                <w:sz w:val="28"/>
                <w:szCs w:val="28"/>
                <w:highlight w:val="none"/>
              </w:rPr>
              <w:t>var</w:t>
            </w:r>
          </w:p>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default" w:ascii="仿宋_GB2312" w:hAnsi="仿宋_GB2312" w:eastAsia="仿宋_GB2312" w:cs="Times New Roman"/>
                <w:b w:val="0"/>
                <w:color w:val="auto"/>
                <w:sz w:val="28"/>
                <w:szCs w:val="28"/>
                <w:highlight w:val="none"/>
              </w:rPr>
            </w:pPr>
            <w:r>
              <w:rPr>
                <w:rFonts w:hint="default" w:ascii="仿宋_GB2312" w:hAnsi="仿宋_GB2312" w:eastAsia="仿宋_GB2312" w:cs="Times New Roman"/>
                <w:b w:val="0"/>
                <w:color w:val="auto"/>
                <w:sz w:val="28"/>
                <w:szCs w:val="28"/>
                <w:highlight w:val="none"/>
                <w:lang w:val="en-US" w:eastAsia="zh-CN"/>
              </w:rPr>
              <w:t>并联</w:t>
            </w:r>
            <w:r>
              <w:rPr>
                <w:rFonts w:hint="default" w:ascii="仿宋_GB2312" w:hAnsi="仿宋_GB2312" w:eastAsia="仿宋_GB2312" w:cs="Times New Roman"/>
                <w:b w:val="0"/>
                <w:color w:val="auto"/>
                <w:sz w:val="28"/>
                <w:szCs w:val="28"/>
                <w:highlight w:val="none"/>
              </w:rPr>
              <w:t>电</w:t>
            </w:r>
            <w:r>
              <w:rPr>
                <w:rFonts w:hint="eastAsia" w:ascii="仿宋_GB2312" w:hAnsi="仿宋_GB2312" w:eastAsia="仿宋_GB2312" w:cs="Times New Roman"/>
                <w:b w:val="0"/>
                <w:color w:val="auto"/>
                <w:sz w:val="28"/>
                <w:szCs w:val="28"/>
                <w:highlight w:val="none"/>
                <w:lang w:val="en-US" w:eastAsia="zh-CN"/>
              </w:rPr>
              <w:t>抗</w:t>
            </w:r>
            <w:r>
              <w:rPr>
                <w:rFonts w:hint="default" w:ascii="仿宋_GB2312" w:hAnsi="仿宋_GB2312" w:eastAsia="仿宋_GB2312" w:cs="Times New Roman"/>
                <w:b w:val="0"/>
                <w:color w:val="auto"/>
                <w:sz w:val="28"/>
                <w:szCs w:val="28"/>
                <w:highlight w:val="none"/>
              </w:rPr>
              <w:t>器组：</w:t>
            </w:r>
          </w:p>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eastAsia" w:ascii="仿宋_GB2312" w:hAnsi="仿宋_GB2312" w:eastAsia="仿宋_GB2312" w:cs="Times New Roman"/>
                <w:b w:val="0"/>
                <w:color w:val="auto"/>
                <w:sz w:val="28"/>
                <w:szCs w:val="28"/>
                <w:highlight w:val="none"/>
                <w:lang w:val="en-US" w:eastAsia="zh-CN"/>
              </w:rPr>
            </w:pPr>
            <w:r>
              <w:rPr>
                <w:rFonts w:hint="eastAsia" w:ascii="仿宋_GB2312" w:hAnsi="仿宋_GB2312" w:eastAsia="仿宋_GB2312" w:cs="Times New Roman"/>
                <w:b w:val="0"/>
                <w:color w:val="auto"/>
                <w:sz w:val="28"/>
                <w:szCs w:val="28"/>
                <w:highlight w:val="none"/>
                <w:lang w:val="en-US" w:eastAsia="zh-CN"/>
              </w:rPr>
              <w:t>无</w:t>
            </w:r>
          </w:p>
        </w:tc>
        <w:tc>
          <w:tcPr>
            <w:tcW w:w="36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eastAsia" w:ascii="仿宋_GB2312" w:hAnsi="仿宋_GB2312" w:eastAsia="仿宋_GB2312" w:cs="Times New Roman"/>
                <w:b w:val="0"/>
                <w:color w:val="auto"/>
                <w:sz w:val="28"/>
                <w:szCs w:val="28"/>
                <w:highlight w:val="none"/>
              </w:rPr>
            </w:pPr>
            <w:r>
              <w:rPr>
                <w:rFonts w:hint="default" w:ascii="仿宋_GB2312" w:hAnsi="仿宋_GB2312" w:eastAsia="仿宋_GB2312" w:cs="Times New Roman"/>
                <w:b w:val="0"/>
                <w:color w:val="auto"/>
                <w:sz w:val="28"/>
                <w:szCs w:val="28"/>
                <w:highlight w:val="none"/>
                <w:lang w:val="en-US" w:eastAsia="zh-CN"/>
              </w:rPr>
              <w:t>并联</w:t>
            </w:r>
            <w:r>
              <w:rPr>
                <w:rFonts w:hint="eastAsia" w:ascii="仿宋_GB2312" w:hAnsi="仿宋_GB2312" w:eastAsia="仿宋_GB2312" w:cs="Times New Roman"/>
                <w:b w:val="0"/>
                <w:color w:val="auto"/>
                <w:sz w:val="28"/>
                <w:szCs w:val="28"/>
                <w:highlight w:val="none"/>
              </w:rPr>
              <w:t>电容器组：</w:t>
            </w:r>
          </w:p>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eastAsia" w:ascii="仿宋_GB2312" w:hAnsi="仿宋_GB2312" w:eastAsia="仿宋_GB2312" w:cs="Times New Roman"/>
                <w:b w:val="0"/>
                <w:color w:val="auto"/>
                <w:sz w:val="28"/>
                <w:szCs w:val="28"/>
                <w:highlight w:val="none"/>
              </w:rPr>
            </w:pPr>
            <w:r>
              <w:rPr>
                <w:rFonts w:hint="eastAsia" w:ascii="仿宋_GB2312" w:hAnsi="仿宋_GB2312" w:eastAsia="仿宋_GB2312" w:cs="Times New Roman"/>
                <w:b w:val="0"/>
                <w:color w:val="auto"/>
                <w:sz w:val="28"/>
                <w:szCs w:val="28"/>
                <w:highlight w:val="none"/>
                <w:lang w:val="en-US" w:eastAsia="zh-CN"/>
              </w:rPr>
              <w:t>1</w:t>
            </w:r>
            <w:r>
              <w:rPr>
                <w:rFonts w:hint="default" w:ascii="仿宋_GB2312" w:hAnsi="仿宋_GB2312" w:eastAsia="仿宋_GB2312" w:cs="Times New Roman"/>
                <w:b w:val="0"/>
                <w:color w:val="auto"/>
                <w:sz w:val="28"/>
                <w:szCs w:val="28"/>
                <w:highlight w:val="none"/>
              </w:rPr>
              <w:t>×</w:t>
            </w:r>
            <w:r>
              <w:rPr>
                <w:rFonts w:hint="default" w:ascii="仿宋_GB2312" w:hAnsi="仿宋_GB2312" w:eastAsia="仿宋_GB2312" w:cs="Times New Roman"/>
                <w:b w:val="0"/>
                <w:color w:val="auto"/>
                <w:sz w:val="28"/>
                <w:szCs w:val="28"/>
                <w:highlight w:val="none"/>
                <w:lang w:val="en-US" w:eastAsia="zh-CN"/>
              </w:rPr>
              <w:t>2</w:t>
            </w:r>
            <w:r>
              <w:rPr>
                <w:rFonts w:hint="eastAsia" w:ascii="仿宋_GB2312" w:hAnsi="仿宋_GB2312" w:eastAsia="仿宋_GB2312" w:cs="Times New Roman"/>
                <w:b w:val="0"/>
                <w:color w:val="auto"/>
                <w:sz w:val="28"/>
                <w:szCs w:val="28"/>
                <w:highlight w:val="none"/>
              </w:rPr>
              <w:t>×</w:t>
            </w:r>
            <w:r>
              <w:rPr>
                <w:rFonts w:hint="eastAsia" w:ascii="仿宋_GB2312" w:hAnsi="仿宋_GB2312" w:eastAsia="仿宋_GB2312" w:cs="Times New Roman"/>
                <w:b w:val="0"/>
                <w:color w:val="auto"/>
                <w:sz w:val="28"/>
                <w:szCs w:val="28"/>
                <w:highlight w:val="none"/>
                <w:lang w:val="en-US" w:eastAsia="zh-CN"/>
              </w:rPr>
              <w:t>6</w:t>
            </w:r>
            <w:r>
              <w:rPr>
                <w:rFonts w:hint="default" w:ascii="仿宋_GB2312" w:hAnsi="仿宋_GB2312" w:eastAsia="仿宋_GB2312" w:cs="Times New Roman"/>
                <w:b w:val="0"/>
                <w:color w:val="auto"/>
                <w:sz w:val="28"/>
                <w:szCs w:val="28"/>
                <w:highlight w:val="none"/>
                <w:lang w:val="en-US" w:eastAsia="zh-CN"/>
              </w:rPr>
              <w:t>M</w:t>
            </w:r>
            <w:r>
              <w:rPr>
                <w:rFonts w:hint="eastAsia" w:ascii="仿宋_GB2312" w:hAnsi="仿宋_GB2312" w:eastAsia="仿宋_GB2312" w:cs="Times New Roman"/>
                <w:b w:val="0"/>
                <w:color w:val="auto"/>
                <w:sz w:val="28"/>
                <w:szCs w:val="28"/>
                <w:highlight w:val="none"/>
              </w:rPr>
              <w:t>var</w:t>
            </w:r>
          </w:p>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default" w:ascii="仿宋_GB2312" w:hAnsi="仿宋_GB2312" w:eastAsia="仿宋_GB2312" w:cs="Times New Roman"/>
                <w:b w:val="0"/>
                <w:color w:val="auto"/>
                <w:sz w:val="28"/>
                <w:szCs w:val="28"/>
                <w:highlight w:val="none"/>
              </w:rPr>
            </w:pPr>
            <w:r>
              <w:rPr>
                <w:rFonts w:hint="default" w:ascii="仿宋_GB2312" w:hAnsi="仿宋_GB2312" w:eastAsia="仿宋_GB2312" w:cs="Times New Roman"/>
                <w:b w:val="0"/>
                <w:color w:val="auto"/>
                <w:sz w:val="28"/>
                <w:szCs w:val="28"/>
                <w:highlight w:val="none"/>
                <w:lang w:val="en-US" w:eastAsia="zh-CN"/>
              </w:rPr>
              <w:t>并联</w:t>
            </w:r>
            <w:r>
              <w:rPr>
                <w:rFonts w:hint="default" w:ascii="仿宋_GB2312" w:hAnsi="仿宋_GB2312" w:eastAsia="仿宋_GB2312" w:cs="Times New Roman"/>
                <w:b w:val="0"/>
                <w:color w:val="auto"/>
                <w:sz w:val="28"/>
                <w:szCs w:val="28"/>
                <w:highlight w:val="none"/>
              </w:rPr>
              <w:t>电</w:t>
            </w:r>
            <w:r>
              <w:rPr>
                <w:rFonts w:hint="eastAsia" w:ascii="仿宋_GB2312" w:hAnsi="仿宋_GB2312" w:eastAsia="仿宋_GB2312" w:cs="Times New Roman"/>
                <w:b w:val="0"/>
                <w:color w:val="auto"/>
                <w:sz w:val="28"/>
                <w:szCs w:val="28"/>
                <w:highlight w:val="none"/>
                <w:lang w:val="en-US" w:eastAsia="zh-CN"/>
              </w:rPr>
              <w:t>抗</w:t>
            </w:r>
            <w:r>
              <w:rPr>
                <w:rFonts w:hint="default" w:ascii="仿宋_GB2312" w:hAnsi="仿宋_GB2312" w:eastAsia="仿宋_GB2312" w:cs="Times New Roman"/>
                <w:b w:val="0"/>
                <w:color w:val="auto"/>
                <w:sz w:val="28"/>
                <w:szCs w:val="28"/>
                <w:highlight w:val="none"/>
              </w:rPr>
              <w:t>器组：</w:t>
            </w:r>
          </w:p>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eastAsia" w:ascii="仿宋_GB2312" w:hAnsi="仿宋_GB2312" w:eastAsia="仿宋_GB2312" w:cs="Times New Roman"/>
                <w:b w:val="0"/>
                <w:color w:val="auto"/>
                <w:sz w:val="28"/>
                <w:szCs w:val="28"/>
                <w:highlight w:val="none"/>
              </w:rPr>
            </w:pPr>
            <w:r>
              <w:rPr>
                <w:rFonts w:hint="eastAsia" w:ascii="仿宋_GB2312" w:hAnsi="仿宋_GB2312" w:eastAsia="仿宋_GB2312" w:cs="Times New Roman"/>
                <w:b w:val="0"/>
                <w:color w:val="auto"/>
                <w:sz w:val="28"/>
                <w:szCs w:val="28"/>
                <w:highlight w:val="none"/>
                <w:lang w:val="en-US" w:eastAsia="zh-CN"/>
              </w:rPr>
              <w:t>1</w:t>
            </w:r>
            <w:r>
              <w:rPr>
                <w:rFonts w:hint="default" w:ascii="仿宋_GB2312" w:hAnsi="仿宋_GB2312" w:eastAsia="仿宋_GB2312" w:cs="Times New Roman"/>
                <w:b w:val="0"/>
                <w:color w:val="auto"/>
                <w:sz w:val="28"/>
                <w:szCs w:val="28"/>
                <w:highlight w:val="none"/>
              </w:rPr>
              <w:t>×</w:t>
            </w:r>
            <w:r>
              <w:rPr>
                <w:rFonts w:hint="eastAsia" w:ascii="仿宋_GB2312" w:hAnsi="仿宋_GB2312" w:eastAsia="仿宋_GB2312" w:cs="Times New Roman"/>
                <w:b w:val="0"/>
                <w:color w:val="auto"/>
                <w:sz w:val="28"/>
                <w:szCs w:val="28"/>
                <w:highlight w:val="none"/>
                <w:lang w:val="en-US" w:eastAsia="zh-CN"/>
              </w:rPr>
              <w:t>1</w:t>
            </w:r>
            <w:r>
              <w:rPr>
                <w:rFonts w:hint="eastAsia" w:ascii="仿宋_GB2312" w:hAnsi="仿宋_GB2312" w:eastAsia="仿宋_GB2312" w:cs="Times New Roman"/>
                <w:b w:val="0"/>
                <w:color w:val="auto"/>
                <w:sz w:val="28"/>
                <w:szCs w:val="28"/>
                <w:highlight w:val="none"/>
              </w:rPr>
              <w:t>×</w:t>
            </w:r>
            <w:r>
              <w:rPr>
                <w:rFonts w:hint="eastAsia" w:ascii="仿宋_GB2312" w:hAnsi="仿宋_GB2312" w:eastAsia="仿宋_GB2312" w:cs="Times New Roman"/>
                <w:b w:val="0"/>
                <w:color w:val="auto"/>
                <w:sz w:val="28"/>
                <w:szCs w:val="28"/>
                <w:highlight w:val="none"/>
                <w:lang w:val="en-US" w:eastAsia="zh-CN"/>
              </w:rPr>
              <w:t>6</w:t>
            </w:r>
            <w:r>
              <w:rPr>
                <w:rFonts w:hint="default" w:ascii="仿宋_GB2312" w:hAnsi="仿宋_GB2312" w:eastAsia="仿宋_GB2312" w:cs="Times New Roman"/>
                <w:b w:val="0"/>
                <w:color w:val="auto"/>
                <w:sz w:val="28"/>
                <w:szCs w:val="28"/>
                <w:highlight w:val="none"/>
                <w:lang w:val="en-US" w:eastAsia="zh-CN"/>
              </w:rPr>
              <w:t>M</w:t>
            </w:r>
            <w:r>
              <w:rPr>
                <w:rFonts w:hint="eastAsia" w:ascii="仿宋_GB2312" w:hAnsi="仿宋_GB2312" w:eastAsia="仿宋_GB2312" w:cs="Times New Roman"/>
                <w:b w:val="0"/>
                <w:color w:val="auto"/>
                <w:sz w:val="28"/>
                <w:szCs w:val="28"/>
                <w:highlight w:val="none"/>
              </w:rPr>
              <w:t>var</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4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eastAsia" w:ascii="仿宋_GB2312" w:hAnsi="仿宋_GB2312" w:eastAsia="仿宋_GB2312" w:cs="Times New Roman"/>
                <w:b w:val="0"/>
                <w:color w:val="auto"/>
                <w:sz w:val="28"/>
                <w:szCs w:val="28"/>
                <w:highlight w:val="none"/>
              </w:rPr>
            </w:pPr>
            <w:r>
              <w:rPr>
                <w:rFonts w:hint="eastAsia" w:ascii="仿宋_GB2312" w:hAnsi="仿宋_GB2312" w:eastAsia="仿宋_GB2312" w:cs="Times New Roman"/>
                <w:b w:val="0"/>
                <w:color w:val="auto"/>
                <w:sz w:val="28"/>
                <w:szCs w:val="28"/>
                <w:highlight w:val="none"/>
              </w:rPr>
              <w:t>5</w:t>
            </w:r>
          </w:p>
        </w:tc>
        <w:tc>
          <w:tcPr>
            <w:tcW w:w="2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snapToGrid/>
              <w:spacing w:before="0" w:beforeAutospacing="0" w:after="0" w:afterAutospacing="0" w:line="560" w:lineRule="exact"/>
              <w:ind w:left="0" w:right="0"/>
              <w:jc w:val="center"/>
              <w:rPr>
                <w:rFonts w:hint="eastAsia" w:ascii="仿宋_GB2312" w:hAnsi="仿宋_GB2312" w:eastAsia="仿宋_GB2312" w:cs="Times New Roman"/>
                <w:b w:val="0"/>
                <w:color w:val="auto"/>
                <w:sz w:val="28"/>
                <w:szCs w:val="28"/>
                <w:highlight w:val="none"/>
                <w:lang w:eastAsia="zh-CN"/>
              </w:rPr>
            </w:pPr>
            <w:r>
              <w:rPr>
                <w:rFonts w:hint="eastAsia" w:ascii="仿宋_GB2312" w:hAnsi="仿宋_GB2312" w:eastAsia="仿宋_GB2312" w:cs="Times New Roman"/>
                <w:b w:val="0"/>
                <w:color w:val="auto"/>
                <w:sz w:val="28"/>
                <w:szCs w:val="28"/>
                <w:highlight w:val="none"/>
              </w:rPr>
              <w:t>对侧扩建</w:t>
            </w:r>
            <w:r>
              <w:rPr>
                <w:rFonts w:hint="eastAsia" w:ascii="仿宋_GB2312" w:hAnsi="仿宋_GB2312" w:eastAsia="仿宋_GB2312" w:cs="Times New Roman"/>
                <w:b w:val="0"/>
                <w:color w:val="auto"/>
                <w:sz w:val="28"/>
                <w:szCs w:val="28"/>
                <w:highlight w:val="none"/>
                <w:lang w:eastAsia="zh-CN"/>
              </w:rPr>
              <w:t>或配套工程</w:t>
            </w:r>
          </w:p>
        </w:tc>
        <w:tc>
          <w:tcPr>
            <w:tcW w:w="6598"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numPr>
                <w:ilvl w:val="255"/>
                <w:numId w:val="0"/>
              </w:numPr>
              <w:suppressLineNumbers w:val="0"/>
              <w:kinsoku/>
              <w:wordWrap/>
              <w:overflowPunct/>
              <w:topLinePunct w:val="0"/>
              <w:autoSpaceDE w:val="0"/>
              <w:autoSpaceDN w:val="0"/>
              <w:bidi w:val="0"/>
              <w:snapToGrid/>
              <w:spacing w:before="0" w:beforeAutospacing="0" w:after="0" w:afterAutospacing="0" w:line="560" w:lineRule="exact"/>
              <w:ind w:left="0" w:right="0"/>
              <w:jc w:val="left"/>
              <w:rPr>
                <w:rFonts w:hint="eastAsia" w:ascii="仿宋_GB2312" w:hAnsi="仿宋_GB2312" w:eastAsia="仿宋_GB2312" w:cs="Times New Roman"/>
                <w:b w:val="0"/>
                <w:color w:val="auto"/>
                <w:sz w:val="28"/>
                <w:szCs w:val="28"/>
                <w:highlight w:val="none"/>
                <w:lang w:val="en-US" w:eastAsia="zh-CN"/>
              </w:rPr>
            </w:pPr>
            <w:r>
              <w:rPr>
                <w:rFonts w:hint="eastAsia" w:ascii="仿宋_GB2312" w:hAnsi="仿宋_GB2312" w:eastAsia="仿宋_GB2312" w:cs="Times New Roman"/>
                <w:b w:val="0"/>
                <w:color w:val="auto"/>
                <w:sz w:val="28"/>
                <w:szCs w:val="28"/>
                <w:highlight w:val="none"/>
                <w:lang w:val="en-US" w:eastAsia="zh-CN"/>
              </w:rPr>
              <w:t>1）将太平站110kV绿太乙线在110kV母线处解断，太平#2主变同步进行3T改造接入解断后的110kV绿太乙线，形成110kV绿洲～太平#2主变线路；</w:t>
            </w:r>
          </w:p>
          <w:p>
            <w:pPr>
              <w:keepNext w:val="0"/>
              <w:keepLines w:val="0"/>
              <w:pageBreakBefore w:val="0"/>
              <w:numPr>
                <w:ilvl w:val="255"/>
                <w:numId w:val="0"/>
              </w:numPr>
              <w:suppressLineNumbers w:val="0"/>
              <w:kinsoku/>
              <w:wordWrap/>
              <w:overflowPunct/>
              <w:topLinePunct w:val="0"/>
              <w:autoSpaceDE w:val="0"/>
              <w:autoSpaceDN w:val="0"/>
              <w:bidi w:val="0"/>
              <w:snapToGrid/>
              <w:spacing w:before="0" w:beforeAutospacing="0" w:after="0" w:afterAutospacing="0" w:line="560" w:lineRule="exact"/>
              <w:ind w:left="0" w:right="0"/>
              <w:jc w:val="left"/>
              <w:rPr>
                <w:rFonts w:hint="eastAsia" w:ascii="仿宋_GB2312" w:hAnsi="仿宋_GB2312" w:eastAsia="仿宋_GB2312" w:cs="Times New Roman"/>
                <w:b w:val="0"/>
                <w:color w:val="auto"/>
                <w:sz w:val="28"/>
                <w:szCs w:val="28"/>
                <w:highlight w:val="none"/>
                <w:lang w:val="en-US" w:eastAsia="zh-CN"/>
              </w:rPr>
            </w:pPr>
            <w:r>
              <w:rPr>
                <w:rFonts w:hint="eastAsia" w:ascii="仿宋_GB2312" w:hAnsi="仿宋_GB2312" w:eastAsia="仿宋_GB2312" w:cs="Times New Roman"/>
                <w:b w:val="0"/>
                <w:color w:val="auto"/>
                <w:sz w:val="28"/>
                <w:szCs w:val="28"/>
                <w:highlight w:val="none"/>
                <w:lang w:val="en-US" w:eastAsia="zh-CN"/>
              </w:rPr>
              <w:t>2）太平站110kV母线进行分段改造和间隔调整，太平第三台变和110kV汉太线接入其中一段110kV母线，110kV绿太甲线、110kV太利线和太平#1主变接入另一段110kV母线；</w:t>
            </w:r>
          </w:p>
          <w:p>
            <w:pPr>
              <w:keepNext w:val="0"/>
              <w:keepLines w:val="0"/>
              <w:pageBreakBefore w:val="0"/>
              <w:numPr>
                <w:ilvl w:val="255"/>
                <w:numId w:val="0"/>
              </w:numPr>
              <w:suppressLineNumbers w:val="0"/>
              <w:kinsoku/>
              <w:wordWrap/>
              <w:overflowPunct/>
              <w:topLinePunct w:val="0"/>
              <w:autoSpaceDE w:val="0"/>
              <w:autoSpaceDN w:val="0"/>
              <w:bidi w:val="0"/>
              <w:snapToGrid/>
              <w:spacing w:before="0" w:beforeAutospacing="0" w:after="0" w:afterAutospacing="0" w:line="560" w:lineRule="exact"/>
              <w:ind w:left="0" w:right="0"/>
              <w:jc w:val="left"/>
              <w:rPr>
                <w:rFonts w:hint="eastAsia" w:ascii="仿宋_GB2312" w:hAnsi="仿宋_GB2312" w:eastAsia="仿宋_GB2312" w:cs="Times New Roman"/>
                <w:b w:val="0"/>
                <w:color w:val="auto"/>
                <w:sz w:val="28"/>
                <w:szCs w:val="28"/>
                <w:highlight w:val="none"/>
                <w:lang w:val="en-US" w:eastAsia="zh-CN"/>
              </w:rPr>
            </w:pPr>
            <w:r>
              <w:rPr>
                <w:rFonts w:hint="eastAsia" w:ascii="仿宋_GB2312" w:hAnsi="仿宋_GB2312" w:eastAsia="仿宋_GB2312" w:cs="Times New Roman"/>
                <w:b w:val="0"/>
                <w:color w:val="auto"/>
                <w:sz w:val="28"/>
                <w:szCs w:val="28"/>
                <w:highlight w:val="none"/>
                <w:lang w:val="en-US" w:eastAsia="zh-CN"/>
              </w:rPr>
              <w:t>3）同步对110kV汉太线部分线路增容改造。</w:t>
            </w:r>
          </w:p>
          <w:p>
            <w:pPr>
              <w:pStyle w:val="2"/>
              <w:rPr>
                <w:rFonts w:hint="eastAsia"/>
                <w:highlight w:val="no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黑体" w:hAnsi="黑体" w:eastAsia="黑体" w:cs="Times New Roman"/>
          <w:b w:val="0"/>
          <w:bCs/>
          <w:i w:val="0"/>
          <w:color w:val="auto"/>
          <w:sz w:val="32"/>
          <w:szCs w:val="32"/>
          <w:highlight w:val="none"/>
        </w:rPr>
      </w:pPr>
      <w:r>
        <w:rPr>
          <w:rFonts w:hint="eastAsia" w:ascii="黑体" w:hAnsi="黑体" w:eastAsia="黑体" w:cs="Times New Roman"/>
          <w:b w:val="0"/>
          <w:bCs/>
          <w:i w:val="0"/>
          <w:color w:val="auto"/>
          <w:sz w:val="32"/>
          <w:szCs w:val="32"/>
          <w:highlight w:val="none"/>
        </w:rPr>
        <w:t>四、变电站工程</w:t>
      </w:r>
    </w:p>
    <w:p>
      <w:pPr>
        <w:pStyle w:val="7"/>
        <w:pageBreakBefore w:val="0"/>
        <w:numPr>
          <w:ilvl w:val="0"/>
          <w:numId w:val="0"/>
        </w:numPr>
        <w:kinsoku/>
        <w:wordWrap/>
        <w:overflowPunct/>
        <w:topLinePunct w:val="0"/>
        <w:bidi w:val="0"/>
        <w:spacing w:line="560" w:lineRule="exact"/>
        <w:ind w:left="630" w:leftChars="0"/>
        <w:jc w:val="both"/>
        <w:rPr>
          <w:rFonts w:hint="eastAsia" w:ascii="楷体_GB2312" w:hAnsi="楷体_GB2312" w:eastAsia="楷体_GB2312" w:cs="Times New Roman"/>
          <w:color w:val="auto"/>
          <w:sz w:val="32"/>
          <w:highlight w:val="none"/>
          <w:lang w:val="en-US" w:eastAsia="zh-CN"/>
        </w:rPr>
      </w:pPr>
      <w:r>
        <w:rPr>
          <w:rFonts w:hint="eastAsia" w:ascii="楷体_GB2312" w:hAnsi="楷体_GB2312" w:eastAsia="楷体_GB2312" w:cs="Times New Roman"/>
          <w:color w:val="auto"/>
          <w:sz w:val="32"/>
          <w:highlight w:val="none"/>
          <w:lang w:val="en-US" w:eastAsia="zh-CN"/>
        </w:rPr>
        <w:t>（一）总平面布置</w:t>
      </w:r>
    </w:p>
    <w:p>
      <w:pPr>
        <w:widowControl/>
        <w:autoSpaceDE w:val="0"/>
        <w:autoSpaceDN w:val="0"/>
        <w:adjustRightInd w:val="0"/>
        <w:spacing w:line="560" w:lineRule="exact"/>
        <w:ind w:firstLine="640" w:firstLineChars="200"/>
        <w:jc w:val="both"/>
        <w:rPr>
          <w:rFonts w:hint="eastAsia" w:ascii="仿宋_GB2312" w:hAnsi="仿宋_GB2312" w:eastAsia="仿宋_GB2312"/>
          <w:sz w:val="32"/>
          <w:highlight w:val="none"/>
        </w:rPr>
      </w:pPr>
      <w:r>
        <w:rPr>
          <w:rFonts w:ascii="仿宋_GB2312" w:hAnsi="仿宋_GB2312" w:eastAsia="仿宋_GB2312"/>
          <w:sz w:val="32"/>
          <w:highlight w:val="none"/>
        </w:rPr>
        <w:t>110</w:t>
      </w:r>
      <w:r>
        <w:rPr>
          <w:rFonts w:hint="eastAsia" w:ascii="仿宋_GB2312" w:hAnsi="仿宋_GB2312" w:eastAsia="仿宋_GB2312"/>
          <w:sz w:val="32"/>
          <w:highlight w:val="none"/>
        </w:rPr>
        <w:t>千伏太平变电站为投产运行的户外敞开式常规变电站</w:t>
      </w:r>
      <w:r>
        <w:rPr>
          <w:rFonts w:ascii="仿宋_GB2312" w:hAnsi="仿宋_GB2312" w:eastAsia="仿宋_GB2312"/>
          <w:sz w:val="32"/>
          <w:highlight w:val="none"/>
        </w:rPr>
        <w:t>。</w:t>
      </w:r>
      <w:r>
        <w:rPr>
          <w:rFonts w:hint="eastAsia" w:ascii="仿宋_GB2312" w:hAnsi="仿宋_GB2312" w:eastAsia="仿宋_GB2312"/>
          <w:sz w:val="32"/>
          <w:highlight w:val="none"/>
        </w:rPr>
        <w:t>站内设置#</w:t>
      </w:r>
      <w:r>
        <w:rPr>
          <w:rFonts w:ascii="仿宋_GB2312" w:hAnsi="仿宋_GB2312" w:eastAsia="仿宋_GB2312"/>
          <w:sz w:val="32"/>
          <w:highlight w:val="none"/>
        </w:rPr>
        <w:t>1</w:t>
      </w:r>
      <w:r>
        <w:rPr>
          <w:rFonts w:hint="eastAsia" w:ascii="仿宋_GB2312" w:hAnsi="仿宋_GB2312" w:eastAsia="仿宋_GB2312"/>
          <w:sz w:val="32"/>
          <w:highlight w:val="none"/>
        </w:rPr>
        <w:t>、#</w:t>
      </w:r>
      <w:r>
        <w:rPr>
          <w:rFonts w:ascii="仿宋_GB2312" w:hAnsi="仿宋_GB2312" w:eastAsia="仿宋_GB2312"/>
          <w:sz w:val="32"/>
          <w:highlight w:val="none"/>
        </w:rPr>
        <w:t>2</w:t>
      </w:r>
      <w:r>
        <w:rPr>
          <w:rFonts w:hint="eastAsia" w:ascii="仿宋_GB2312" w:hAnsi="仿宋_GB2312" w:eastAsia="仿宋_GB2312"/>
          <w:sz w:val="32"/>
          <w:highlight w:val="none"/>
        </w:rPr>
        <w:t>主变压器共2台，容量均为4</w:t>
      </w:r>
      <w:r>
        <w:rPr>
          <w:rFonts w:ascii="仿宋_GB2312" w:hAnsi="仿宋_GB2312" w:eastAsia="仿宋_GB2312"/>
          <w:sz w:val="32"/>
          <w:highlight w:val="none"/>
        </w:rPr>
        <w:t>0MVA</w:t>
      </w:r>
      <w:r>
        <w:rPr>
          <w:rFonts w:hint="eastAsia" w:ascii="仿宋_GB2312" w:hAnsi="仿宋_GB2312" w:eastAsia="仿宋_GB2312"/>
          <w:sz w:val="32"/>
          <w:highlight w:val="none"/>
        </w:rPr>
        <w:t>；1</w:t>
      </w:r>
      <w:r>
        <w:rPr>
          <w:rFonts w:ascii="仿宋_GB2312" w:hAnsi="仿宋_GB2312" w:eastAsia="仿宋_GB2312"/>
          <w:sz w:val="32"/>
          <w:highlight w:val="none"/>
        </w:rPr>
        <w:t>10kV</w:t>
      </w:r>
      <w:r>
        <w:rPr>
          <w:rFonts w:hint="eastAsia" w:ascii="仿宋_GB2312" w:hAnsi="仿宋_GB2312" w:eastAsia="仿宋_GB2312"/>
          <w:sz w:val="32"/>
          <w:highlight w:val="none"/>
        </w:rPr>
        <w:t>配电装置、主变压器及1</w:t>
      </w:r>
      <w:r>
        <w:rPr>
          <w:rFonts w:ascii="仿宋_GB2312" w:hAnsi="仿宋_GB2312" w:eastAsia="仿宋_GB2312"/>
          <w:sz w:val="32"/>
          <w:highlight w:val="none"/>
        </w:rPr>
        <w:t>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配电装置场地采用三列式由北向南依次布置</w:t>
      </w:r>
      <w:r>
        <w:rPr>
          <w:rFonts w:ascii="仿宋_GB2312" w:hAnsi="仿宋_GB2312" w:eastAsia="仿宋_GB2312"/>
          <w:sz w:val="32"/>
          <w:highlight w:val="none"/>
        </w:rPr>
        <w:t>。</w:t>
      </w:r>
      <w:r>
        <w:rPr>
          <w:rFonts w:hint="eastAsia" w:ascii="仿宋_GB2312" w:hAnsi="仿宋_GB2312" w:eastAsia="仿宋_GB2312"/>
          <w:sz w:val="32"/>
          <w:highlight w:val="none"/>
        </w:rPr>
        <w:t>主变区域位于站区中部，由西往东依次为</w:t>
      </w:r>
      <w:r>
        <w:rPr>
          <w:rFonts w:ascii="仿宋_GB2312" w:hAnsi="仿宋_GB2312" w:eastAsia="仿宋_GB2312"/>
          <w:sz w:val="32"/>
          <w:highlight w:val="none"/>
        </w:rPr>
        <w:t>#1</w:t>
      </w:r>
      <w:r>
        <w:rPr>
          <w:rFonts w:hint="eastAsia" w:ascii="仿宋_GB2312" w:hAnsi="仿宋_GB2312" w:eastAsia="仿宋_GB2312"/>
          <w:sz w:val="32"/>
          <w:highlight w:val="none"/>
        </w:rPr>
        <w:t>、#</w:t>
      </w:r>
      <w:r>
        <w:rPr>
          <w:rFonts w:ascii="仿宋_GB2312" w:hAnsi="仿宋_GB2312" w:eastAsia="仿宋_GB2312"/>
          <w:sz w:val="32"/>
          <w:highlight w:val="none"/>
        </w:rPr>
        <w:t>2</w:t>
      </w:r>
      <w:r>
        <w:rPr>
          <w:rFonts w:hint="eastAsia" w:ascii="仿宋_GB2312" w:hAnsi="仿宋_GB2312" w:eastAsia="仿宋_GB2312"/>
          <w:sz w:val="32"/>
          <w:highlight w:val="none"/>
        </w:rPr>
        <w:t>主变压器；全站设置综合配电楼1座，主控室、1</w:t>
      </w:r>
      <w:r>
        <w:rPr>
          <w:rFonts w:ascii="仿宋_GB2312" w:hAnsi="仿宋_GB2312" w:eastAsia="仿宋_GB2312"/>
          <w:sz w:val="32"/>
          <w:highlight w:val="none"/>
        </w:rPr>
        <w:t>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高压室及其他功能室布置在综合楼内，1</w:t>
      </w:r>
      <w:r>
        <w:rPr>
          <w:rFonts w:ascii="仿宋_GB2312" w:hAnsi="仿宋_GB2312" w:eastAsia="仿宋_GB2312"/>
          <w:sz w:val="32"/>
          <w:highlight w:val="none"/>
        </w:rPr>
        <w:t>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无功补偿装置布置在站区西南面户外场地；前期设置3</w:t>
      </w:r>
      <w:r>
        <w:rPr>
          <w:rFonts w:ascii="仿宋_GB2312" w:hAnsi="仿宋_GB2312" w:eastAsia="仿宋_GB2312"/>
          <w:sz w:val="32"/>
          <w:highlight w:val="none"/>
        </w:rPr>
        <w:t>5</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配电装置及1</w:t>
      </w:r>
      <w:r>
        <w:rPr>
          <w:rFonts w:ascii="仿宋_GB2312" w:hAnsi="仿宋_GB2312" w:eastAsia="仿宋_GB2312"/>
          <w:sz w:val="32"/>
          <w:highlight w:val="none"/>
        </w:rPr>
        <w:t>10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旁路母线，分别位于#</w:t>
      </w:r>
      <w:r>
        <w:rPr>
          <w:rFonts w:ascii="仿宋_GB2312" w:hAnsi="仿宋_GB2312" w:eastAsia="仿宋_GB2312"/>
          <w:sz w:val="32"/>
          <w:highlight w:val="none"/>
        </w:rPr>
        <w:t>1</w:t>
      </w:r>
      <w:r>
        <w:rPr>
          <w:rFonts w:hint="eastAsia" w:ascii="仿宋_GB2312" w:hAnsi="仿宋_GB2312" w:eastAsia="仿宋_GB2312"/>
          <w:sz w:val="32"/>
          <w:highlight w:val="none"/>
        </w:rPr>
        <w:t>主变西面、1</w:t>
      </w:r>
      <w:r>
        <w:rPr>
          <w:rFonts w:ascii="仿宋_GB2312" w:hAnsi="仿宋_GB2312" w:eastAsia="仿宋_GB2312"/>
          <w:sz w:val="32"/>
          <w:highlight w:val="none"/>
        </w:rPr>
        <w:t>10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配电装置北面，现设备已停运拆除，场地闲置。</w:t>
      </w:r>
    </w:p>
    <w:p>
      <w:pPr>
        <w:widowControl/>
        <w:autoSpaceDE w:val="0"/>
        <w:autoSpaceDN w:val="0"/>
        <w:adjustRightInd w:val="0"/>
        <w:spacing w:line="560" w:lineRule="exact"/>
        <w:ind w:firstLine="640" w:firstLineChars="200"/>
        <w:jc w:val="both"/>
        <w:rPr>
          <w:rFonts w:hint="eastAsia" w:ascii="仿宋_GB2312" w:hAnsi="仿宋_GB2312" w:eastAsia="仿宋_GB2312"/>
          <w:sz w:val="32"/>
          <w:highlight w:val="none"/>
        </w:rPr>
      </w:pPr>
      <w:r>
        <w:rPr>
          <w:rFonts w:hint="eastAsia" w:ascii="仿宋_GB2312" w:hAnsi="仿宋_GB2312" w:eastAsia="仿宋_GB2312"/>
          <w:sz w:val="32"/>
          <w:highlight w:val="none"/>
        </w:rPr>
        <w:t>本期扩建1</w:t>
      </w:r>
      <w:r>
        <w:rPr>
          <w:rFonts w:ascii="仿宋_GB2312" w:hAnsi="仿宋_GB2312" w:eastAsia="仿宋_GB2312"/>
          <w:sz w:val="32"/>
          <w:highlight w:val="none"/>
        </w:rPr>
        <w:t>10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太平站第三台主变，计划利用原3</w:t>
      </w:r>
      <w:r>
        <w:rPr>
          <w:rFonts w:ascii="仿宋_GB2312" w:hAnsi="仿宋_GB2312" w:eastAsia="仿宋_GB2312"/>
          <w:sz w:val="32"/>
          <w:highlight w:val="none"/>
        </w:rPr>
        <w:t>5</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配电装置场地，布置新扩建#</w:t>
      </w:r>
      <w:r>
        <w:rPr>
          <w:rFonts w:ascii="仿宋_GB2312" w:hAnsi="仿宋_GB2312" w:eastAsia="仿宋_GB2312"/>
          <w:sz w:val="32"/>
          <w:highlight w:val="none"/>
        </w:rPr>
        <w:t>3</w:t>
      </w:r>
      <w:r>
        <w:rPr>
          <w:rFonts w:hint="eastAsia" w:ascii="仿宋_GB2312" w:hAnsi="仿宋_GB2312" w:eastAsia="仿宋_GB2312"/>
          <w:sz w:val="32"/>
          <w:highlight w:val="none"/>
        </w:rPr>
        <w:t>主变压器及其变低1</w:t>
      </w:r>
      <w:r>
        <w:rPr>
          <w:rFonts w:ascii="仿宋_GB2312" w:hAnsi="仿宋_GB2312" w:eastAsia="仿宋_GB2312"/>
          <w:sz w:val="32"/>
          <w:highlight w:val="none"/>
        </w:rPr>
        <w:t>0</w:t>
      </w:r>
      <w:r>
        <w:rPr>
          <w:rFonts w:hint="eastAsia" w:ascii="仿宋_GB2312" w:hAnsi="仿宋_GB2312" w:eastAsia="仿宋_GB2312"/>
          <w:sz w:val="32"/>
          <w:highlight w:val="none"/>
        </w:rPr>
        <w:t>kV电容器组无功补偿装置，在原综合配电楼西面紧邻空地新建1</w:t>
      </w:r>
      <w:r>
        <w:rPr>
          <w:rFonts w:ascii="仿宋_GB2312" w:hAnsi="仿宋_GB2312" w:eastAsia="仿宋_GB2312"/>
          <w:sz w:val="32"/>
          <w:highlight w:val="none"/>
        </w:rPr>
        <w:t>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配电装置楼1座；新建</w:t>
      </w:r>
      <w:r>
        <w:rPr>
          <w:rFonts w:ascii="仿宋_GB2312" w:hAnsi="仿宋_GB2312" w:eastAsia="仿宋_GB2312"/>
          <w:sz w:val="32"/>
          <w:highlight w:val="none"/>
        </w:rPr>
        <w:t>10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配电装置楼为单层设计，设置独立的1</w:t>
      </w:r>
      <w:r>
        <w:rPr>
          <w:rFonts w:ascii="仿宋_GB2312" w:hAnsi="仿宋_GB2312" w:eastAsia="仿宋_GB2312"/>
          <w:sz w:val="32"/>
          <w:highlight w:val="none"/>
        </w:rPr>
        <w:t>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高压室、接地变室及并联电抗器室。</w:t>
      </w:r>
    </w:p>
    <w:p>
      <w:pPr>
        <w:widowControl/>
        <w:autoSpaceDE w:val="0"/>
        <w:autoSpaceDN w:val="0"/>
        <w:adjustRightInd w:val="0"/>
        <w:spacing w:line="560" w:lineRule="exact"/>
        <w:ind w:firstLine="640" w:firstLineChars="200"/>
        <w:jc w:val="both"/>
        <w:rPr>
          <w:rFonts w:ascii="仿宋_GB2312" w:hAnsi="仿宋_GB2312" w:eastAsia="仿宋_GB2312"/>
          <w:sz w:val="32"/>
          <w:highlight w:val="none"/>
        </w:rPr>
      </w:pPr>
      <w:r>
        <w:rPr>
          <w:rFonts w:ascii="仿宋_GB2312" w:hAnsi="仿宋_GB2312" w:eastAsia="仿宋_GB2312"/>
          <w:sz w:val="32"/>
          <w:highlight w:val="none"/>
        </w:rPr>
        <w:t>110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配电装置场地，通过间隔调整，新增1</w:t>
      </w:r>
      <w:r>
        <w:rPr>
          <w:rFonts w:ascii="仿宋_GB2312" w:hAnsi="仿宋_GB2312" w:eastAsia="仿宋_GB2312"/>
          <w:sz w:val="32"/>
          <w:highlight w:val="none"/>
        </w:rPr>
        <w:t>10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分段间隔1个，采用H</w:t>
      </w:r>
      <w:r>
        <w:rPr>
          <w:rFonts w:ascii="仿宋_GB2312" w:hAnsi="仿宋_GB2312" w:eastAsia="仿宋_GB2312"/>
          <w:sz w:val="32"/>
          <w:highlight w:val="none"/>
        </w:rPr>
        <w:t>GIS</w:t>
      </w:r>
      <w:r>
        <w:rPr>
          <w:rFonts w:hint="eastAsia" w:ascii="仿宋_GB2312" w:hAnsi="仿宋_GB2312" w:eastAsia="仿宋_GB2312"/>
          <w:sz w:val="32"/>
          <w:highlight w:val="none"/>
        </w:rPr>
        <w:t>设备户外布置；新增1</w:t>
      </w:r>
      <w:r>
        <w:rPr>
          <w:rFonts w:ascii="仿宋_GB2312" w:hAnsi="仿宋_GB2312" w:eastAsia="仿宋_GB2312"/>
          <w:sz w:val="32"/>
          <w:highlight w:val="none"/>
        </w:rPr>
        <w:t>10</w:t>
      </w:r>
      <w:r>
        <w:rPr>
          <w:rFonts w:hint="eastAsia" w:ascii="仿宋_GB2312" w:hAnsi="仿宋_GB2312" w:eastAsia="仿宋_GB2312"/>
          <w:sz w:val="32"/>
          <w:highlight w:val="none"/>
        </w:rPr>
        <w:t>k</w:t>
      </w:r>
      <w:r>
        <w:rPr>
          <w:rFonts w:ascii="仿宋_GB2312" w:hAnsi="仿宋_GB2312" w:eastAsia="仿宋_GB2312"/>
          <w:sz w:val="32"/>
          <w:highlight w:val="none"/>
        </w:rPr>
        <w:t>V #2PT</w:t>
      </w:r>
      <w:r>
        <w:rPr>
          <w:rFonts w:hint="eastAsia" w:ascii="仿宋_GB2312" w:hAnsi="仿宋_GB2312" w:eastAsia="仿宋_GB2312"/>
          <w:sz w:val="32"/>
          <w:highlight w:val="none"/>
        </w:rPr>
        <w:t>母线设备间隔1个、新增</w:t>
      </w:r>
      <w:r>
        <w:rPr>
          <w:rFonts w:ascii="仿宋_GB2312" w:hAnsi="仿宋_GB2312" w:eastAsia="仿宋_GB2312"/>
          <w:sz w:val="32"/>
          <w:highlight w:val="none"/>
        </w:rPr>
        <w:t>110</w:t>
      </w:r>
      <w:r>
        <w:rPr>
          <w:rFonts w:hint="eastAsia" w:ascii="仿宋_GB2312" w:hAnsi="仿宋_GB2312" w:eastAsia="仿宋_GB2312"/>
          <w:sz w:val="32"/>
          <w:highlight w:val="none"/>
        </w:rPr>
        <w:t>k</w:t>
      </w:r>
      <w:r>
        <w:rPr>
          <w:rFonts w:ascii="仿宋_GB2312" w:hAnsi="仿宋_GB2312" w:eastAsia="仿宋_GB2312"/>
          <w:sz w:val="32"/>
          <w:highlight w:val="none"/>
        </w:rPr>
        <w:t>V #3</w:t>
      </w:r>
      <w:r>
        <w:rPr>
          <w:rFonts w:hint="eastAsia" w:ascii="仿宋_GB2312" w:hAnsi="仿宋_GB2312" w:eastAsia="仿宋_GB2312"/>
          <w:sz w:val="32"/>
          <w:highlight w:val="none"/>
        </w:rPr>
        <w:t>主变变高间隔1个，采用敞开式设备户外布置。</w:t>
      </w:r>
    </w:p>
    <w:p>
      <w:pPr>
        <w:widowControl/>
        <w:autoSpaceDE w:val="0"/>
        <w:autoSpaceDN w:val="0"/>
        <w:adjustRightInd w:val="0"/>
        <w:spacing w:line="560" w:lineRule="exact"/>
        <w:ind w:firstLine="640" w:firstLineChars="200"/>
        <w:jc w:val="both"/>
        <w:rPr>
          <w:rFonts w:hint="eastAsia" w:ascii="仿宋_GB2312" w:hAnsi="仿宋_GB2312" w:eastAsia="仿宋_GB2312"/>
          <w:sz w:val="32"/>
          <w:highlight w:val="none"/>
        </w:rPr>
      </w:pPr>
      <w:r>
        <w:rPr>
          <w:rFonts w:hint="eastAsia" w:ascii="仿宋_GB2312" w:hAnsi="仿宋_GB2312" w:eastAsia="仿宋_GB2312"/>
          <w:sz w:val="32"/>
          <w:highlight w:val="none"/>
        </w:rPr>
        <w:t>本期扩建均利用站区内原有场地，不涉及新征地；本期需拆除前期1</w:t>
      </w:r>
      <w:r>
        <w:rPr>
          <w:rFonts w:ascii="仿宋_GB2312" w:hAnsi="仿宋_GB2312" w:eastAsia="仿宋_GB2312"/>
          <w:sz w:val="32"/>
          <w:highlight w:val="none"/>
        </w:rPr>
        <w:t>10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旁路母线场地及3</w:t>
      </w:r>
      <w:r>
        <w:rPr>
          <w:rFonts w:ascii="仿宋_GB2312" w:hAnsi="仿宋_GB2312" w:eastAsia="仿宋_GB2312"/>
          <w:sz w:val="32"/>
          <w:highlight w:val="none"/>
        </w:rPr>
        <w:t>5</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场地废旧支构架。</w:t>
      </w:r>
    </w:p>
    <w:p>
      <w:pPr>
        <w:widowControl/>
        <w:autoSpaceDE w:val="0"/>
        <w:autoSpaceDN w:val="0"/>
        <w:adjustRightInd w:val="0"/>
        <w:spacing w:line="560" w:lineRule="exact"/>
        <w:ind w:firstLine="640" w:firstLineChars="200"/>
        <w:jc w:val="both"/>
        <w:rPr>
          <w:rFonts w:hint="eastAsia" w:ascii="楷体_GB2312" w:hAnsi="楷体_GB2312" w:eastAsia="楷体_GB2312"/>
          <w:sz w:val="32"/>
          <w:highlight w:val="none"/>
        </w:rPr>
      </w:pPr>
      <w:r>
        <w:rPr>
          <w:rFonts w:hint="eastAsia" w:ascii="仿宋_GB2312" w:hAnsi="仿宋_GB2312" w:eastAsia="仿宋_GB2312"/>
          <w:sz w:val="32"/>
          <w:highlight w:val="none"/>
        </w:rPr>
        <w:t>（二）电气主</w:t>
      </w:r>
      <w:r>
        <w:rPr>
          <w:rFonts w:hint="eastAsia" w:ascii="楷体_GB2312" w:hAnsi="楷体_GB2312" w:eastAsia="楷体_GB2312"/>
          <w:sz w:val="32"/>
          <w:highlight w:val="none"/>
        </w:rPr>
        <w:t>接线</w:t>
      </w:r>
    </w:p>
    <w:p>
      <w:pPr>
        <w:widowControl/>
        <w:autoSpaceDE w:val="0"/>
        <w:autoSpaceDN w:val="0"/>
        <w:adjustRightInd w:val="0"/>
        <w:spacing w:line="560" w:lineRule="exact"/>
        <w:ind w:firstLine="640" w:firstLineChars="200"/>
        <w:jc w:val="both"/>
        <w:rPr>
          <w:rFonts w:ascii="仿宋_GB2312" w:hAnsi="仿宋_GB2312" w:eastAsia="仿宋_GB2312"/>
          <w:sz w:val="32"/>
          <w:highlight w:val="none"/>
        </w:rPr>
      </w:pPr>
      <w:r>
        <w:rPr>
          <w:rFonts w:hint="eastAsia" w:ascii="仿宋_GB2312" w:hAnsi="仿宋_GB2312" w:eastAsia="仿宋_GB2312"/>
          <w:sz w:val="32"/>
          <w:highlight w:val="none"/>
        </w:rPr>
        <w:t>1. 110kV电气接线</w:t>
      </w:r>
    </w:p>
    <w:p>
      <w:pPr>
        <w:widowControl/>
        <w:autoSpaceDE w:val="0"/>
        <w:autoSpaceDN w:val="0"/>
        <w:adjustRightInd w:val="0"/>
        <w:spacing w:line="560" w:lineRule="exact"/>
        <w:ind w:firstLine="640" w:firstLineChars="200"/>
        <w:jc w:val="both"/>
        <w:rPr>
          <w:rFonts w:hint="eastAsia" w:ascii="仿宋_GB2312" w:hAnsi="仿宋_GB2312" w:eastAsia="仿宋_GB2312"/>
          <w:sz w:val="32"/>
          <w:highlight w:val="none"/>
        </w:rPr>
      </w:pPr>
      <w:r>
        <w:rPr>
          <w:rFonts w:hint="eastAsia" w:ascii="仿宋_GB2312" w:hAnsi="仿宋_GB2312" w:eastAsia="仿宋_GB2312"/>
          <w:sz w:val="32"/>
          <w:highlight w:val="none"/>
        </w:rPr>
        <w:t>前期采用单母线接线；本期#</w:t>
      </w:r>
      <w:r>
        <w:rPr>
          <w:rFonts w:ascii="仿宋_GB2312" w:hAnsi="仿宋_GB2312" w:eastAsia="仿宋_GB2312"/>
          <w:sz w:val="32"/>
          <w:highlight w:val="none"/>
        </w:rPr>
        <w:t>1</w:t>
      </w:r>
      <w:r>
        <w:rPr>
          <w:rFonts w:hint="eastAsia" w:ascii="仿宋_GB2312" w:hAnsi="仿宋_GB2312" w:eastAsia="仿宋_GB2312"/>
          <w:sz w:val="32"/>
          <w:highlight w:val="none"/>
        </w:rPr>
        <w:t>、#</w:t>
      </w:r>
      <w:r>
        <w:rPr>
          <w:rFonts w:ascii="仿宋_GB2312" w:hAnsi="仿宋_GB2312" w:eastAsia="仿宋_GB2312"/>
          <w:sz w:val="32"/>
          <w:highlight w:val="none"/>
        </w:rPr>
        <w:t>3</w:t>
      </w:r>
      <w:r>
        <w:rPr>
          <w:rFonts w:hint="eastAsia" w:ascii="仿宋_GB2312" w:hAnsi="仿宋_GB2312" w:eastAsia="仿宋_GB2312"/>
          <w:sz w:val="32"/>
          <w:highlight w:val="none"/>
        </w:rPr>
        <w:t>主变采用单母线分段接线， #2变采用线变组接线。</w:t>
      </w:r>
    </w:p>
    <w:p>
      <w:pPr>
        <w:widowControl/>
        <w:autoSpaceDE w:val="0"/>
        <w:autoSpaceDN w:val="0"/>
        <w:adjustRightInd w:val="0"/>
        <w:spacing w:line="560" w:lineRule="exact"/>
        <w:ind w:firstLine="640" w:firstLineChars="200"/>
        <w:jc w:val="both"/>
        <w:rPr>
          <w:rFonts w:ascii="仿宋_GB2312" w:hAnsi="仿宋_GB2312" w:eastAsia="仿宋_GB2312"/>
          <w:sz w:val="32"/>
          <w:highlight w:val="none"/>
        </w:rPr>
      </w:pPr>
      <w:r>
        <w:rPr>
          <w:rFonts w:hint="eastAsia" w:ascii="仿宋_GB2312" w:hAnsi="仿宋_GB2312" w:eastAsia="仿宋_GB2312"/>
          <w:sz w:val="32"/>
          <w:highlight w:val="none"/>
        </w:rPr>
        <w:t>2. 10kV电气接线</w:t>
      </w:r>
    </w:p>
    <w:p>
      <w:pPr>
        <w:widowControl/>
        <w:autoSpaceDE w:val="0"/>
        <w:autoSpaceDN w:val="0"/>
        <w:adjustRightInd w:val="0"/>
        <w:spacing w:line="560" w:lineRule="exact"/>
        <w:ind w:firstLine="640" w:firstLineChars="200"/>
        <w:jc w:val="both"/>
        <w:rPr>
          <w:rFonts w:ascii="仿宋_GB2312" w:hAnsi="仿宋_GB2312" w:eastAsia="仿宋_GB2312"/>
          <w:sz w:val="32"/>
          <w:highlight w:val="none"/>
        </w:rPr>
      </w:pPr>
      <w:r>
        <w:rPr>
          <w:rFonts w:hint="eastAsia" w:ascii="仿宋_GB2312" w:hAnsi="仿宋_GB2312" w:eastAsia="仿宋_GB2312"/>
          <w:sz w:val="32"/>
          <w:highlight w:val="none"/>
        </w:rPr>
        <w:t>前期10kV侧为单母线分段接线，每台主变各带1段10kV母线。</w:t>
      </w:r>
    </w:p>
    <w:p>
      <w:pPr>
        <w:widowControl/>
        <w:autoSpaceDE w:val="0"/>
        <w:autoSpaceDN w:val="0"/>
        <w:adjustRightInd w:val="0"/>
        <w:spacing w:line="560" w:lineRule="exact"/>
        <w:ind w:firstLine="640" w:firstLineChars="200"/>
        <w:jc w:val="both"/>
        <w:rPr>
          <w:rFonts w:hint="eastAsia" w:ascii="仿宋_GB2312" w:hAnsi="仿宋_GB2312" w:eastAsia="仿宋_GB2312"/>
          <w:sz w:val="32"/>
          <w:highlight w:val="none"/>
        </w:rPr>
      </w:pPr>
      <w:r>
        <w:rPr>
          <w:rFonts w:hint="eastAsia" w:ascii="仿宋_GB2312" w:hAnsi="仿宋_GB2312" w:eastAsia="仿宋_GB2312"/>
          <w:sz w:val="32"/>
          <w:highlight w:val="none"/>
        </w:rPr>
        <w:t>本期1</w:t>
      </w:r>
      <w:r>
        <w:rPr>
          <w:rFonts w:ascii="仿宋_GB2312" w:hAnsi="仿宋_GB2312" w:eastAsia="仿宋_GB2312"/>
          <w:sz w:val="32"/>
          <w:highlight w:val="none"/>
        </w:rPr>
        <w:t>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侧采用单母线分段接线，不改变原有接线方式；新增#</w:t>
      </w:r>
      <w:r>
        <w:rPr>
          <w:rFonts w:ascii="仿宋_GB2312" w:hAnsi="仿宋_GB2312" w:eastAsia="仿宋_GB2312"/>
          <w:sz w:val="32"/>
          <w:highlight w:val="none"/>
        </w:rPr>
        <w:t>3</w:t>
      </w:r>
      <w:r>
        <w:rPr>
          <w:rFonts w:hint="eastAsia" w:ascii="仿宋_GB2312" w:hAnsi="仿宋_GB2312" w:eastAsia="仿宋_GB2312"/>
          <w:sz w:val="32"/>
          <w:highlight w:val="none"/>
        </w:rPr>
        <w:t>主变变低3</w:t>
      </w:r>
      <w:r>
        <w:rPr>
          <w:rFonts w:ascii="仿宋_GB2312" w:hAnsi="仿宋_GB2312" w:eastAsia="仿宋_GB2312"/>
          <w:sz w:val="32"/>
          <w:highlight w:val="none"/>
        </w:rPr>
        <w:t>M</w:t>
      </w:r>
      <w:r>
        <w:rPr>
          <w:rFonts w:hint="eastAsia" w:ascii="仿宋_GB2312" w:hAnsi="仿宋_GB2312" w:eastAsia="仿宋_GB2312"/>
          <w:sz w:val="32"/>
          <w:highlight w:val="none"/>
        </w:rPr>
        <w:t>段母线，与#</w:t>
      </w:r>
      <w:r>
        <w:rPr>
          <w:rFonts w:ascii="仿宋_GB2312" w:hAnsi="仿宋_GB2312" w:eastAsia="仿宋_GB2312"/>
          <w:sz w:val="32"/>
          <w:highlight w:val="none"/>
        </w:rPr>
        <w:t>2</w:t>
      </w:r>
      <w:r>
        <w:rPr>
          <w:rFonts w:hint="eastAsia" w:ascii="仿宋_GB2312" w:hAnsi="仿宋_GB2312" w:eastAsia="仿宋_GB2312"/>
          <w:sz w:val="32"/>
          <w:highlight w:val="none"/>
        </w:rPr>
        <w:t>主变变低2</w:t>
      </w:r>
      <w:r>
        <w:rPr>
          <w:rFonts w:ascii="仿宋_GB2312" w:hAnsi="仿宋_GB2312" w:eastAsia="仿宋_GB2312"/>
          <w:sz w:val="32"/>
          <w:highlight w:val="none"/>
        </w:rPr>
        <w:t>M</w:t>
      </w:r>
      <w:r>
        <w:rPr>
          <w:rFonts w:hint="eastAsia" w:ascii="仿宋_GB2312" w:hAnsi="仿宋_GB2312" w:eastAsia="仿宋_GB2312"/>
          <w:sz w:val="32"/>
          <w:highlight w:val="none"/>
        </w:rPr>
        <w:t>段母线组成单母线分段接线。</w:t>
      </w:r>
    </w:p>
    <w:p>
      <w:pPr>
        <w:pStyle w:val="7"/>
        <w:ind w:left="630" w:firstLine="0"/>
        <w:jc w:val="both"/>
        <w:rPr>
          <w:rFonts w:hint="eastAsia" w:ascii="楷体_GB2312" w:hAnsi="楷体_GB2312" w:eastAsia="楷体_GB2312"/>
          <w:sz w:val="32"/>
          <w:highlight w:val="none"/>
        </w:rPr>
      </w:pPr>
      <w:r>
        <w:rPr>
          <w:rFonts w:hint="eastAsia" w:ascii="楷体_GB2312" w:hAnsi="楷体_GB2312" w:eastAsia="楷体_GB2312"/>
          <w:sz w:val="32"/>
          <w:highlight w:val="none"/>
        </w:rPr>
        <w:t>（三）主要设备选型</w:t>
      </w:r>
    </w:p>
    <w:p>
      <w:pPr>
        <w:widowControl/>
        <w:autoSpaceDE w:val="0"/>
        <w:autoSpaceDN w:val="0"/>
        <w:adjustRightInd w:val="0"/>
        <w:spacing w:line="560" w:lineRule="exact"/>
        <w:ind w:firstLine="640" w:firstLineChars="200"/>
        <w:jc w:val="both"/>
        <w:rPr>
          <w:rFonts w:hint="eastAsia" w:ascii="仿宋_GB2312" w:hAnsi="仿宋_GB2312" w:eastAsia="仿宋_GB2312"/>
          <w:sz w:val="32"/>
          <w:highlight w:val="none"/>
        </w:rPr>
      </w:pPr>
      <w:r>
        <w:rPr>
          <w:rFonts w:hint="eastAsia" w:ascii="仿宋_GB2312" w:hAnsi="仿宋_GB2312" w:eastAsia="仿宋_GB2312"/>
          <w:sz w:val="32"/>
          <w:highlight w:val="none"/>
        </w:rPr>
        <w:t>1.采用三相二卷自然油循环自冷有载调压变压器；10kV开关柜采用金属铠装移开式中置柜。</w:t>
      </w:r>
    </w:p>
    <w:p>
      <w:pPr>
        <w:widowControl/>
        <w:autoSpaceDE w:val="0"/>
        <w:autoSpaceDN w:val="0"/>
        <w:adjustRightInd w:val="0"/>
        <w:spacing w:line="560" w:lineRule="exact"/>
        <w:ind w:firstLine="640" w:firstLineChars="200"/>
        <w:jc w:val="both"/>
        <w:rPr>
          <w:rFonts w:hint="eastAsia" w:ascii="仿宋_GB2312" w:hAnsi="仿宋_GB2312" w:eastAsia="仿宋_GB2312"/>
          <w:sz w:val="32"/>
          <w:highlight w:val="none"/>
        </w:rPr>
      </w:pPr>
      <w:r>
        <w:rPr>
          <w:rFonts w:hint="eastAsia" w:ascii="仿宋_GB2312" w:hAnsi="仿宋_GB2312" w:eastAsia="仿宋_GB2312"/>
          <w:sz w:val="32"/>
          <w:highlight w:val="none"/>
        </w:rPr>
        <w:t>2. 110kV、10kV设备短路电流水平分别按40kA、31.5kA选择。户内设备防污等级按d级，统一爬电比距≥43.3mm/kV，户外设备防污等级按e级，统一爬电比距≥</w:t>
      </w:r>
      <w:r>
        <w:rPr>
          <w:rFonts w:ascii="仿宋_GB2312" w:hAnsi="仿宋_GB2312" w:eastAsia="仿宋_GB2312"/>
          <w:sz w:val="32"/>
          <w:highlight w:val="none"/>
        </w:rPr>
        <w:t>57.3</w:t>
      </w:r>
      <w:r>
        <w:rPr>
          <w:rFonts w:hint="eastAsia" w:ascii="仿宋_GB2312" w:hAnsi="仿宋_GB2312" w:eastAsia="仿宋_GB2312"/>
          <w:sz w:val="32"/>
          <w:highlight w:val="none"/>
        </w:rPr>
        <w:t>mm/kV。</w:t>
      </w:r>
    </w:p>
    <w:p>
      <w:pPr>
        <w:widowControl/>
        <w:autoSpaceDE w:val="0"/>
        <w:autoSpaceDN w:val="0"/>
        <w:adjustRightInd w:val="0"/>
        <w:spacing w:line="560" w:lineRule="exact"/>
        <w:ind w:firstLine="640" w:firstLineChars="200"/>
        <w:jc w:val="both"/>
        <w:rPr>
          <w:rFonts w:hint="eastAsia" w:ascii="仿宋_GB2312" w:hAnsi="仿宋_GB2312" w:eastAsia="仿宋_GB2312"/>
          <w:sz w:val="32"/>
          <w:highlight w:val="none"/>
        </w:rPr>
      </w:pPr>
      <w:r>
        <w:rPr>
          <w:rFonts w:hint="eastAsia" w:ascii="仿宋_GB2312" w:hAnsi="仿宋_GB2312" w:eastAsia="仿宋_GB2312"/>
          <w:sz w:val="32"/>
          <w:highlight w:val="none"/>
        </w:rPr>
        <w:t>3.无功补偿装置为成套装置，1</w:t>
      </w:r>
      <w:r>
        <w:rPr>
          <w:rFonts w:ascii="仿宋_GB2312" w:hAnsi="仿宋_GB2312" w:eastAsia="仿宋_GB2312"/>
          <w:sz w:val="32"/>
          <w:highlight w:val="none"/>
        </w:rPr>
        <w:t>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电容器选用集中式电容器组户外布置，1</w:t>
      </w:r>
      <w:r>
        <w:rPr>
          <w:rFonts w:ascii="仿宋_GB2312" w:hAnsi="仿宋_GB2312" w:eastAsia="仿宋_GB2312"/>
          <w:sz w:val="32"/>
          <w:highlight w:val="none"/>
        </w:rPr>
        <w:t>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并联电抗器采用干式铁芯并联电抗器户内布置。</w:t>
      </w:r>
    </w:p>
    <w:p>
      <w:pPr>
        <w:pStyle w:val="7"/>
        <w:ind w:left="630" w:firstLine="0"/>
        <w:jc w:val="both"/>
        <w:rPr>
          <w:rFonts w:hint="eastAsia" w:ascii="楷体_GB2312" w:hAnsi="楷体_GB2312" w:eastAsia="楷体_GB2312"/>
          <w:sz w:val="32"/>
          <w:highlight w:val="none"/>
        </w:rPr>
      </w:pPr>
      <w:r>
        <w:rPr>
          <w:rFonts w:hint="eastAsia" w:ascii="楷体_GB2312" w:hAnsi="楷体_GB2312" w:eastAsia="楷体_GB2312"/>
          <w:sz w:val="32"/>
          <w:highlight w:val="none"/>
        </w:rPr>
        <w:t>（四）配电装置</w:t>
      </w:r>
    </w:p>
    <w:p>
      <w:pPr>
        <w:widowControl/>
        <w:autoSpaceDE w:val="0"/>
        <w:autoSpaceDN w:val="0"/>
        <w:adjustRightInd w:val="0"/>
        <w:spacing w:line="560" w:lineRule="exact"/>
        <w:ind w:firstLine="640" w:firstLineChars="200"/>
        <w:jc w:val="both"/>
        <w:rPr>
          <w:rFonts w:hint="eastAsia" w:ascii="仿宋_GB2312" w:hAnsi="仿宋_GB2312" w:eastAsia="仿宋_GB2312"/>
          <w:sz w:val="32"/>
          <w:highlight w:val="none"/>
        </w:rPr>
      </w:pPr>
      <w:r>
        <w:rPr>
          <w:rFonts w:hint="eastAsia" w:ascii="仿宋_GB2312" w:hAnsi="仿宋_GB2312" w:eastAsia="仿宋_GB2312"/>
          <w:sz w:val="32"/>
          <w:highlight w:val="none"/>
        </w:rPr>
        <w:t>1.110kV配电装置采用分别采用户外H</w:t>
      </w:r>
      <w:r>
        <w:rPr>
          <w:rFonts w:ascii="仿宋_GB2312" w:hAnsi="仿宋_GB2312" w:eastAsia="仿宋_GB2312"/>
          <w:sz w:val="32"/>
          <w:highlight w:val="none"/>
        </w:rPr>
        <w:t>GIS</w:t>
      </w:r>
      <w:r>
        <w:rPr>
          <w:rFonts w:hint="eastAsia" w:ascii="仿宋_GB2312" w:hAnsi="仿宋_GB2312" w:eastAsia="仿宋_GB2312"/>
          <w:sz w:val="32"/>
          <w:highlight w:val="none"/>
        </w:rPr>
        <w:t>高压组合电器及户外敞开式常规设备，户外布置在1</w:t>
      </w:r>
      <w:r>
        <w:rPr>
          <w:rFonts w:ascii="仿宋_GB2312" w:hAnsi="仿宋_GB2312" w:eastAsia="仿宋_GB2312"/>
          <w:sz w:val="32"/>
          <w:highlight w:val="none"/>
        </w:rPr>
        <w:t>10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配电装置场地。</w:t>
      </w:r>
    </w:p>
    <w:p>
      <w:pPr>
        <w:widowControl/>
        <w:autoSpaceDE w:val="0"/>
        <w:autoSpaceDN w:val="0"/>
        <w:adjustRightInd w:val="0"/>
        <w:spacing w:line="560" w:lineRule="exact"/>
        <w:ind w:firstLine="640" w:firstLineChars="200"/>
        <w:jc w:val="both"/>
        <w:rPr>
          <w:rFonts w:hint="eastAsia" w:ascii="楷体_GB2312" w:hAnsi="楷体_GB2312" w:eastAsia="楷体_GB2312" w:cs="Times New Roman"/>
          <w:color w:val="auto"/>
          <w:sz w:val="32"/>
          <w:highlight w:val="none"/>
          <w:lang w:val="en-US" w:eastAsia="zh-CN"/>
        </w:rPr>
      </w:pPr>
      <w:r>
        <w:rPr>
          <w:rFonts w:hint="eastAsia" w:ascii="仿宋_GB2312" w:hAnsi="仿宋_GB2312" w:eastAsia="仿宋_GB2312"/>
          <w:sz w:val="32"/>
          <w:highlight w:val="none"/>
        </w:rPr>
        <w:t>2. 10kV配电装置：10kV配电装置为中置式屋内双列布置在新建配电装置楼，#3高压开关柜布置在高压室内，#3成套接地装置独立布置接地变室。10kV无功补偿电容器采用集中式成套装置布置在站区西面户外场地，1</w:t>
      </w:r>
      <w:r>
        <w:rPr>
          <w:rFonts w:ascii="仿宋_GB2312" w:hAnsi="仿宋_GB2312" w:eastAsia="仿宋_GB2312"/>
          <w:sz w:val="32"/>
          <w:highlight w:val="none"/>
        </w:rPr>
        <w:t>0</w:t>
      </w:r>
      <w:r>
        <w:rPr>
          <w:rFonts w:hint="eastAsia" w:ascii="仿宋_GB2312" w:hAnsi="仿宋_GB2312" w:eastAsia="仿宋_GB2312"/>
          <w:sz w:val="32"/>
          <w:highlight w:val="none"/>
        </w:rPr>
        <w:t>k</w:t>
      </w:r>
      <w:r>
        <w:rPr>
          <w:rFonts w:ascii="仿宋_GB2312" w:hAnsi="仿宋_GB2312" w:eastAsia="仿宋_GB2312"/>
          <w:sz w:val="32"/>
          <w:highlight w:val="none"/>
        </w:rPr>
        <w:t>V</w:t>
      </w:r>
      <w:r>
        <w:rPr>
          <w:rFonts w:hint="eastAsia" w:ascii="仿宋_GB2312" w:hAnsi="仿宋_GB2312" w:eastAsia="仿宋_GB2312"/>
          <w:sz w:val="32"/>
          <w:highlight w:val="none"/>
        </w:rPr>
        <w:t>并联电抗器采用干式铁芯型布置在新建配电楼。</w:t>
      </w:r>
    </w:p>
    <w:p>
      <w:pPr>
        <w:pStyle w:val="7"/>
        <w:pageBreakBefore w:val="0"/>
        <w:numPr>
          <w:ilvl w:val="0"/>
          <w:numId w:val="0"/>
        </w:numPr>
        <w:kinsoku/>
        <w:wordWrap/>
        <w:overflowPunct/>
        <w:topLinePunct w:val="0"/>
        <w:bidi w:val="0"/>
        <w:spacing w:line="560" w:lineRule="exact"/>
        <w:ind w:left="630" w:leftChars="0"/>
        <w:jc w:val="both"/>
        <w:rPr>
          <w:rFonts w:hint="eastAsia" w:ascii="楷体_GB2312" w:hAnsi="楷体_GB2312" w:eastAsia="楷体_GB2312" w:cs="Times New Roman"/>
          <w:color w:val="auto"/>
          <w:sz w:val="32"/>
          <w:highlight w:val="none"/>
          <w:lang w:val="en-US" w:eastAsia="zh-CN"/>
        </w:rPr>
      </w:pPr>
      <w:r>
        <w:rPr>
          <w:rFonts w:hint="eastAsia" w:ascii="楷体_GB2312" w:hAnsi="楷体_GB2312" w:eastAsia="楷体_GB2312" w:cs="Times New Roman"/>
          <w:color w:val="auto"/>
          <w:sz w:val="32"/>
          <w:highlight w:val="none"/>
          <w:lang w:val="en-US" w:eastAsia="zh-CN"/>
        </w:rPr>
        <w:t>（五）系统及电气二次</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b w:val="0"/>
          <w:color w:val="auto"/>
          <w:kern w:val="0"/>
          <w:sz w:val="32"/>
          <w:szCs w:val="24"/>
          <w:highlight w:val="none"/>
          <w:lang w:val="en-US" w:eastAsia="zh-CN" w:bidi="ar-SA"/>
        </w:rPr>
      </w:pPr>
      <w:r>
        <w:rPr>
          <w:rFonts w:hint="eastAsia" w:ascii="仿宋_GB2312" w:hAnsi="仿宋_GB2312" w:eastAsia="仿宋_GB2312"/>
          <w:b w:val="0"/>
          <w:color w:val="auto"/>
          <w:kern w:val="0"/>
          <w:sz w:val="32"/>
          <w:szCs w:val="24"/>
          <w:highlight w:val="none"/>
          <w:lang w:val="en-US" w:eastAsia="zh-CN" w:bidi="ar-SA"/>
        </w:rPr>
        <w:t>1.调度自动化</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default" w:ascii="仿宋_GB2312" w:hAnsi="仿宋_GB2312" w:eastAsia="仿宋_GB2312"/>
          <w:b w:val="0"/>
          <w:color w:val="auto"/>
          <w:kern w:val="0"/>
          <w:sz w:val="32"/>
          <w:szCs w:val="24"/>
          <w:highlight w:val="none"/>
          <w:lang w:val="en-US" w:eastAsia="zh-CN" w:bidi="ar-SA"/>
        </w:rPr>
      </w:pPr>
      <w:r>
        <w:rPr>
          <w:rFonts w:hint="eastAsia" w:ascii="仿宋_GB2312" w:hAnsi="仿宋_GB2312" w:eastAsia="仿宋_GB2312"/>
          <w:b w:val="0"/>
          <w:color w:val="auto"/>
          <w:kern w:val="0"/>
          <w:sz w:val="32"/>
          <w:szCs w:val="24"/>
          <w:highlight w:val="none"/>
          <w:lang w:val="en-US" w:eastAsia="zh-CN" w:bidi="ar-SA"/>
        </w:rPr>
        <w:t>（1）</w:t>
      </w:r>
      <w:r>
        <w:rPr>
          <w:rFonts w:hint="default" w:ascii="仿宋_GB2312" w:hAnsi="仿宋_GB2312" w:eastAsia="仿宋_GB2312"/>
          <w:b w:val="0"/>
          <w:color w:val="auto"/>
          <w:kern w:val="0"/>
          <w:sz w:val="32"/>
          <w:szCs w:val="24"/>
          <w:highlight w:val="none"/>
          <w:lang w:val="en-US" w:eastAsia="zh-CN" w:bidi="ar-SA"/>
        </w:rPr>
        <w:t>本期扩建工程接入系统后维持原有调度关系不变。</w:t>
      </w:r>
      <w:r>
        <w:rPr>
          <w:rFonts w:hint="eastAsia" w:ascii="仿宋_GB2312" w:hAnsi="仿宋_GB2312" w:eastAsia="仿宋_GB2312"/>
          <w:b w:val="0"/>
          <w:color w:val="auto"/>
          <w:kern w:val="0"/>
          <w:sz w:val="32"/>
          <w:szCs w:val="24"/>
          <w:highlight w:val="none"/>
          <w:lang w:val="en-US" w:eastAsia="zh-CN" w:bidi="ar-SA"/>
        </w:rPr>
        <w:t>各系统主站和计量主站需相应进行扩容。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default" w:ascii="仿宋_GB2312" w:hAnsi="仿宋_GB2312" w:eastAsia="仿宋_GB2312"/>
          <w:b w:val="0"/>
          <w:color w:val="auto"/>
          <w:kern w:val="0"/>
          <w:sz w:val="32"/>
          <w:szCs w:val="24"/>
          <w:highlight w:val="none"/>
          <w:lang w:val="en-US" w:eastAsia="zh-CN" w:bidi="ar-SA"/>
        </w:rPr>
      </w:pPr>
      <w:r>
        <w:rPr>
          <w:rFonts w:hint="eastAsia" w:ascii="仿宋_GB2312" w:hAnsi="仿宋_GB2312" w:eastAsia="仿宋_GB2312"/>
          <w:b w:val="0"/>
          <w:color w:val="auto"/>
          <w:kern w:val="0"/>
          <w:sz w:val="32"/>
          <w:szCs w:val="24"/>
          <w:highlight w:val="none"/>
          <w:lang w:val="en-US" w:eastAsia="zh-CN" w:bidi="ar-SA"/>
        </w:rPr>
        <w:t>（2）</w:t>
      </w:r>
      <w:r>
        <w:rPr>
          <w:rFonts w:hint="default" w:ascii="仿宋_GB2312" w:hAnsi="仿宋_GB2312" w:eastAsia="仿宋_GB2312"/>
          <w:b w:val="0"/>
          <w:color w:val="auto"/>
          <w:kern w:val="0"/>
          <w:sz w:val="32"/>
          <w:szCs w:val="24"/>
          <w:highlight w:val="none"/>
          <w:lang w:val="en-US" w:eastAsia="zh-CN" w:bidi="ar-SA"/>
        </w:rPr>
        <w:t>本期扩建设备</w:t>
      </w:r>
      <w:r>
        <w:rPr>
          <w:rFonts w:hint="eastAsia" w:ascii="仿宋_GB2312" w:hAnsi="仿宋_GB2312" w:eastAsia="仿宋_GB2312"/>
          <w:b w:val="0"/>
          <w:color w:val="auto"/>
          <w:kern w:val="0"/>
          <w:sz w:val="32"/>
          <w:szCs w:val="24"/>
          <w:highlight w:val="none"/>
          <w:lang w:val="en-US" w:eastAsia="zh-CN" w:bidi="ar-SA"/>
        </w:rPr>
        <w:t>所在场地及房间</w:t>
      </w:r>
      <w:r>
        <w:rPr>
          <w:rFonts w:hint="default" w:ascii="仿宋_GB2312" w:hAnsi="仿宋_GB2312" w:eastAsia="仿宋_GB2312"/>
          <w:b w:val="0"/>
          <w:color w:val="auto"/>
          <w:kern w:val="0"/>
          <w:sz w:val="32"/>
          <w:szCs w:val="24"/>
          <w:highlight w:val="none"/>
          <w:lang w:val="en-US" w:eastAsia="zh-CN" w:bidi="ar-SA"/>
        </w:rPr>
        <w:t>新增视频及环境监测设备通过原站端系统通道上送至主站。</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b w:val="0"/>
          <w:color w:val="auto"/>
          <w:kern w:val="0"/>
          <w:sz w:val="32"/>
          <w:szCs w:val="24"/>
          <w:highlight w:val="none"/>
          <w:lang w:val="en-US" w:eastAsia="zh-CN" w:bidi="ar-SA"/>
        </w:rPr>
      </w:pPr>
      <w:r>
        <w:rPr>
          <w:rFonts w:hint="eastAsia" w:ascii="仿宋_GB2312" w:hAnsi="仿宋_GB2312" w:eastAsia="仿宋_GB2312"/>
          <w:b w:val="0"/>
          <w:color w:val="auto"/>
          <w:kern w:val="0"/>
          <w:sz w:val="32"/>
          <w:szCs w:val="24"/>
          <w:highlight w:val="none"/>
          <w:lang w:val="en-US" w:eastAsia="zh-CN" w:bidi="ar-SA"/>
        </w:rPr>
        <w:t>（3）</w:t>
      </w:r>
      <w:r>
        <w:rPr>
          <w:rFonts w:hint="default" w:ascii="仿宋_GB2312" w:hAnsi="仿宋_GB2312" w:eastAsia="仿宋_GB2312"/>
          <w:b w:val="0"/>
          <w:color w:val="auto"/>
          <w:kern w:val="0"/>
          <w:sz w:val="32"/>
          <w:szCs w:val="24"/>
          <w:highlight w:val="none"/>
          <w:lang w:val="en-US" w:eastAsia="zh-CN" w:bidi="ar-SA"/>
        </w:rPr>
        <w:t>本期</w:t>
      </w:r>
      <w:r>
        <w:rPr>
          <w:rFonts w:hint="eastAsia" w:ascii="仿宋_GB2312" w:hAnsi="仿宋_GB2312" w:eastAsia="仿宋_GB2312"/>
          <w:b w:val="0"/>
          <w:color w:val="auto"/>
          <w:kern w:val="0"/>
          <w:sz w:val="32"/>
          <w:szCs w:val="24"/>
          <w:highlight w:val="none"/>
          <w:lang w:val="en-US" w:eastAsia="zh-CN" w:bidi="ar-SA"/>
        </w:rPr>
        <w:t>新增一台电能质量监测装置，至少满足1个监测点需求,通过一路调度数据网通道接入主站。</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default" w:ascii="仿宋_GB2312" w:hAnsi="仿宋_GB2312" w:eastAsia="仿宋_GB2312"/>
          <w:b w:val="0"/>
          <w:color w:val="auto"/>
          <w:kern w:val="0"/>
          <w:sz w:val="32"/>
          <w:szCs w:val="24"/>
          <w:highlight w:val="none"/>
          <w:lang w:val="en-US" w:eastAsia="zh-CN" w:bidi="ar-SA"/>
        </w:rPr>
      </w:pPr>
      <w:r>
        <w:rPr>
          <w:rFonts w:hint="eastAsia" w:ascii="仿宋_GB2312" w:hAnsi="仿宋_GB2312" w:eastAsia="仿宋_GB2312"/>
          <w:b w:val="0"/>
          <w:color w:val="auto"/>
          <w:kern w:val="0"/>
          <w:sz w:val="32"/>
          <w:szCs w:val="24"/>
          <w:highlight w:val="none"/>
          <w:lang w:val="en-US" w:eastAsia="zh-CN" w:bidi="ar-SA"/>
        </w:rPr>
        <w:t>（4）</w:t>
      </w:r>
      <w:r>
        <w:rPr>
          <w:rFonts w:hint="default" w:ascii="仿宋_GB2312" w:hAnsi="仿宋_GB2312" w:eastAsia="仿宋_GB2312"/>
          <w:b w:val="0"/>
          <w:color w:val="auto"/>
          <w:kern w:val="0"/>
          <w:sz w:val="32"/>
          <w:szCs w:val="24"/>
          <w:highlight w:val="none"/>
          <w:lang w:val="en-US" w:eastAsia="zh-CN" w:bidi="ar-SA"/>
        </w:rPr>
        <w:t>本期新增</w:t>
      </w:r>
      <w:r>
        <w:rPr>
          <w:rFonts w:hint="eastAsia" w:ascii="仿宋_GB2312" w:hAnsi="仿宋_GB2312" w:eastAsia="仿宋_GB2312"/>
          <w:b w:val="0"/>
          <w:color w:val="auto"/>
          <w:kern w:val="0"/>
          <w:sz w:val="32"/>
          <w:szCs w:val="24"/>
          <w:highlight w:val="none"/>
          <w:lang w:val="en-US" w:eastAsia="zh-CN" w:bidi="ar-SA"/>
        </w:rPr>
        <w:t>2台</w:t>
      </w:r>
      <w:r>
        <w:rPr>
          <w:rFonts w:hint="default" w:ascii="仿宋_GB2312" w:hAnsi="仿宋_GB2312" w:eastAsia="仿宋_GB2312"/>
          <w:b w:val="0"/>
          <w:color w:val="auto"/>
          <w:kern w:val="0"/>
          <w:sz w:val="32"/>
          <w:szCs w:val="24"/>
          <w:highlight w:val="none"/>
          <w:lang w:val="en-US" w:eastAsia="zh-CN" w:bidi="ar-SA"/>
        </w:rPr>
        <w:t>电压质量监测装置通过一路调度数据网接入主站。</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b w:val="0"/>
          <w:color w:val="auto"/>
          <w:kern w:val="0"/>
          <w:sz w:val="32"/>
          <w:szCs w:val="24"/>
          <w:highlight w:val="none"/>
          <w:lang w:val="en-US" w:eastAsia="zh-CN" w:bidi="ar-SA"/>
        </w:rPr>
      </w:pPr>
      <w:r>
        <w:rPr>
          <w:rFonts w:hint="eastAsia" w:ascii="仿宋_GB2312" w:hAnsi="仿宋_GB2312" w:eastAsia="仿宋_GB2312"/>
          <w:b w:val="0"/>
          <w:color w:val="auto"/>
          <w:kern w:val="0"/>
          <w:sz w:val="32"/>
          <w:szCs w:val="24"/>
          <w:highlight w:val="none"/>
          <w:lang w:val="en-US" w:eastAsia="zh-CN" w:bidi="ar-SA"/>
        </w:rPr>
        <w:t>（5）录波、保信、</w:t>
      </w:r>
      <w:r>
        <w:rPr>
          <w:rFonts w:hint="default" w:ascii="仿宋_GB2312" w:hAnsi="仿宋_GB2312" w:eastAsia="仿宋_GB2312"/>
          <w:b w:val="0"/>
          <w:color w:val="auto"/>
          <w:kern w:val="0"/>
          <w:sz w:val="32"/>
          <w:szCs w:val="24"/>
          <w:highlight w:val="none"/>
          <w:lang w:val="en-US" w:eastAsia="zh-CN" w:bidi="ar-SA"/>
        </w:rPr>
        <w:t>远动装置、二次安全防护系统采用</w:t>
      </w:r>
      <w:r>
        <w:rPr>
          <w:rFonts w:hint="eastAsia" w:ascii="仿宋_GB2312" w:hAnsi="仿宋_GB2312" w:eastAsia="仿宋_GB2312"/>
          <w:b w:val="0"/>
          <w:color w:val="auto"/>
          <w:kern w:val="0"/>
          <w:sz w:val="32"/>
          <w:szCs w:val="24"/>
          <w:highlight w:val="none"/>
          <w:lang w:val="en-US" w:eastAsia="zh-CN" w:bidi="ar-SA"/>
        </w:rPr>
        <w:t>站内已有</w:t>
      </w:r>
      <w:r>
        <w:rPr>
          <w:rFonts w:hint="default" w:ascii="仿宋_GB2312" w:hAnsi="仿宋_GB2312" w:eastAsia="仿宋_GB2312"/>
          <w:b w:val="0"/>
          <w:color w:val="auto"/>
          <w:kern w:val="0"/>
          <w:sz w:val="32"/>
          <w:szCs w:val="24"/>
          <w:highlight w:val="none"/>
          <w:lang w:val="en-US" w:eastAsia="zh-CN" w:bidi="ar-SA"/>
        </w:rPr>
        <w:t>设备，本期不作改变。</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b w:val="0"/>
          <w:color w:val="auto"/>
          <w:kern w:val="0"/>
          <w:sz w:val="32"/>
          <w:szCs w:val="24"/>
          <w:highlight w:val="none"/>
          <w:lang w:val="en-US" w:eastAsia="zh-CN" w:bidi="ar-SA"/>
        </w:rPr>
      </w:pPr>
      <w:r>
        <w:rPr>
          <w:rFonts w:hint="eastAsia" w:ascii="仿宋_GB2312" w:hAnsi="仿宋_GB2312" w:eastAsia="仿宋_GB2312"/>
          <w:b w:val="0"/>
          <w:color w:val="auto"/>
          <w:kern w:val="0"/>
          <w:sz w:val="32"/>
          <w:szCs w:val="24"/>
          <w:highlight w:val="none"/>
          <w:lang w:val="en-US" w:eastAsia="zh-CN" w:bidi="ar-SA"/>
        </w:rPr>
        <w:t>2.计量自动化</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b w:val="0"/>
          <w:color w:val="auto"/>
          <w:kern w:val="0"/>
          <w:sz w:val="32"/>
          <w:szCs w:val="24"/>
          <w:highlight w:val="none"/>
          <w:lang w:val="en-US" w:eastAsia="zh-CN" w:bidi="ar-SA"/>
        </w:rPr>
      </w:pPr>
      <w:r>
        <w:rPr>
          <w:rFonts w:hint="default" w:ascii="仿宋_GB2312" w:hAnsi="仿宋_GB2312" w:eastAsia="仿宋_GB2312"/>
          <w:b w:val="0"/>
          <w:color w:val="auto"/>
          <w:kern w:val="0"/>
          <w:sz w:val="32"/>
          <w:szCs w:val="24"/>
          <w:highlight w:val="none"/>
          <w:lang w:val="en-US" w:eastAsia="zh-CN" w:bidi="ar-SA"/>
        </w:rPr>
        <w:t>本期扩建主变</w:t>
      </w:r>
      <w:r>
        <w:rPr>
          <w:rFonts w:hint="eastAsia" w:ascii="仿宋_GB2312" w:hAnsi="仿宋_GB2312" w:eastAsia="仿宋_GB2312"/>
          <w:b w:val="0"/>
          <w:color w:val="auto"/>
          <w:kern w:val="0"/>
          <w:sz w:val="32"/>
          <w:szCs w:val="24"/>
          <w:highlight w:val="none"/>
          <w:lang w:val="en-US" w:eastAsia="zh-CN" w:bidi="ar-SA"/>
        </w:rPr>
        <w:t>高、</w:t>
      </w:r>
      <w:r>
        <w:rPr>
          <w:rFonts w:hint="default" w:ascii="仿宋_GB2312" w:hAnsi="仿宋_GB2312" w:eastAsia="仿宋_GB2312"/>
          <w:b w:val="0"/>
          <w:color w:val="auto"/>
          <w:kern w:val="0"/>
          <w:sz w:val="32"/>
          <w:szCs w:val="24"/>
          <w:highlight w:val="none"/>
          <w:lang w:val="en-US" w:eastAsia="zh-CN" w:bidi="ar-SA"/>
        </w:rPr>
        <w:t>低压侧、1</w:t>
      </w:r>
      <w:r>
        <w:rPr>
          <w:rFonts w:hint="eastAsia" w:ascii="仿宋_GB2312" w:hAnsi="仿宋_GB2312" w:eastAsia="仿宋_GB2312"/>
          <w:b w:val="0"/>
          <w:color w:val="auto"/>
          <w:kern w:val="0"/>
          <w:sz w:val="32"/>
          <w:szCs w:val="24"/>
          <w:highlight w:val="none"/>
          <w:lang w:val="en-US" w:eastAsia="zh-CN" w:bidi="ar-SA"/>
        </w:rPr>
        <w:t>1</w:t>
      </w:r>
      <w:r>
        <w:rPr>
          <w:rFonts w:hint="default" w:ascii="仿宋_GB2312" w:hAnsi="仿宋_GB2312" w:eastAsia="仿宋_GB2312"/>
          <w:b w:val="0"/>
          <w:color w:val="auto"/>
          <w:kern w:val="0"/>
          <w:sz w:val="32"/>
          <w:szCs w:val="24"/>
          <w:highlight w:val="none"/>
          <w:lang w:val="en-US" w:eastAsia="zh-CN" w:bidi="ar-SA"/>
        </w:rPr>
        <w:t>0kV出线</w:t>
      </w:r>
      <w:r>
        <w:rPr>
          <w:rFonts w:hint="eastAsia" w:ascii="仿宋_GB2312" w:hAnsi="仿宋_GB2312" w:eastAsia="仿宋_GB2312"/>
          <w:b w:val="0"/>
          <w:color w:val="auto"/>
          <w:kern w:val="0"/>
          <w:sz w:val="32"/>
          <w:szCs w:val="24"/>
          <w:highlight w:val="none"/>
          <w:lang w:val="en-US" w:eastAsia="zh-CN" w:bidi="ar-SA"/>
        </w:rPr>
        <w:t>、</w:t>
      </w:r>
      <w:r>
        <w:rPr>
          <w:rFonts w:hint="default" w:ascii="仿宋_GB2312" w:hAnsi="仿宋_GB2312" w:eastAsia="仿宋_GB2312"/>
          <w:b w:val="0"/>
          <w:color w:val="auto"/>
          <w:kern w:val="0"/>
          <w:sz w:val="32"/>
          <w:szCs w:val="24"/>
          <w:highlight w:val="none"/>
          <w:lang w:val="en-US" w:eastAsia="zh-CN" w:bidi="ar-SA"/>
        </w:rPr>
        <w:t>10kV出线、10kV电容器组设考核计量点，按单表配置0.5S级电能表。本期新上电能表接入站内已有的电能采集装置。</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b w:val="0"/>
          <w:color w:val="auto"/>
          <w:kern w:val="0"/>
          <w:sz w:val="32"/>
          <w:szCs w:val="24"/>
          <w:highlight w:val="none"/>
          <w:lang w:val="en-US" w:eastAsia="zh-CN" w:bidi="ar-SA"/>
        </w:rPr>
      </w:pPr>
      <w:r>
        <w:rPr>
          <w:rFonts w:hint="eastAsia" w:ascii="仿宋_GB2312" w:hAnsi="仿宋_GB2312" w:eastAsia="仿宋_GB2312"/>
          <w:b w:val="0"/>
          <w:color w:val="auto"/>
          <w:kern w:val="0"/>
          <w:sz w:val="32"/>
          <w:szCs w:val="24"/>
          <w:highlight w:val="none"/>
          <w:lang w:val="en-US" w:eastAsia="zh-CN" w:bidi="ar-SA"/>
        </w:rPr>
        <w:t>3.监控系统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default" w:ascii="仿宋_GB2312" w:hAnsi="仿宋_GB2312" w:eastAsia="仿宋_GB2312"/>
          <w:b w:val="0"/>
          <w:color w:val="auto"/>
          <w:kern w:val="0"/>
          <w:sz w:val="32"/>
          <w:szCs w:val="24"/>
          <w:highlight w:val="none"/>
          <w:lang w:val="en-US" w:eastAsia="zh-CN" w:bidi="ar-SA"/>
        </w:rPr>
      </w:pPr>
      <w:r>
        <w:rPr>
          <w:rFonts w:hint="eastAsia" w:ascii="仿宋_GB2312" w:hAnsi="仿宋_GB2312" w:eastAsia="仿宋_GB2312"/>
          <w:b w:val="0"/>
          <w:color w:val="auto"/>
          <w:kern w:val="0"/>
          <w:sz w:val="32"/>
          <w:szCs w:val="24"/>
          <w:highlight w:val="none"/>
          <w:lang w:val="en-US" w:eastAsia="zh-CN" w:bidi="ar-SA"/>
        </w:rPr>
        <w:t>（1）</w:t>
      </w:r>
      <w:r>
        <w:rPr>
          <w:rFonts w:hint="default" w:ascii="仿宋_GB2312" w:hAnsi="仿宋_GB2312" w:eastAsia="仿宋_GB2312"/>
          <w:b w:val="0"/>
          <w:color w:val="auto"/>
          <w:kern w:val="0"/>
          <w:sz w:val="32"/>
          <w:szCs w:val="24"/>
          <w:highlight w:val="none"/>
          <w:lang w:val="en-US" w:eastAsia="zh-CN" w:bidi="ar-SA"/>
        </w:rPr>
        <w:t>原站内计算机监控系统扩容，间隔层测控单元按本期扩建规模扩充。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default" w:ascii="仿宋_GB2312" w:hAnsi="仿宋_GB2312" w:eastAsia="仿宋_GB2312"/>
          <w:b w:val="0"/>
          <w:color w:val="auto"/>
          <w:kern w:val="0"/>
          <w:sz w:val="32"/>
          <w:szCs w:val="24"/>
          <w:highlight w:val="none"/>
          <w:lang w:val="en-US" w:eastAsia="zh-CN" w:bidi="ar-SA"/>
        </w:rPr>
      </w:pPr>
      <w:r>
        <w:rPr>
          <w:rFonts w:hint="eastAsia" w:ascii="仿宋_GB2312" w:hAnsi="仿宋_GB2312" w:eastAsia="仿宋_GB2312"/>
          <w:b w:val="0"/>
          <w:color w:val="auto"/>
          <w:kern w:val="0"/>
          <w:sz w:val="32"/>
          <w:szCs w:val="24"/>
          <w:highlight w:val="none"/>
          <w:lang w:val="en-US" w:eastAsia="zh-CN" w:bidi="ar-SA"/>
        </w:rPr>
        <w:t>（2）</w:t>
      </w:r>
      <w:r>
        <w:rPr>
          <w:rFonts w:hint="default" w:ascii="仿宋_GB2312" w:hAnsi="仿宋_GB2312" w:eastAsia="仿宋_GB2312"/>
          <w:b w:val="0"/>
          <w:color w:val="auto"/>
          <w:kern w:val="0"/>
          <w:sz w:val="32"/>
          <w:szCs w:val="24"/>
          <w:highlight w:val="none"/>
          <w:lang w:val="en-US" w:eastAsia="zh-CN" w:bidi="ar-SA"/>
        </w:rPr>
        <w:t>原站内五防子系统扩容。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b w:val="0"/>
          <w:color w:val="auto"/>
          <w:kern w:val="0"/>
          <w:sz w:val="32"/>
          <w:szCs w:val="24"/>
          <w:highlight w:val="none"/>
          <w:lang w:val="en-US" w:eastAsia="zh-CN" w:bidi="ar-SA"/>
        </w:rPr>
      </w:pPr>
      <w:r>
        <w:rPr>
          <w:rFonts w:hint="eastAsia" w:ascii="仿宋_GB2312" w:hAnsi="仿宋_GB2312" w:eastAsia="仿宋_GB2312"/>
          <w:b w:val="0"/>
          <w:color w:val="auto"/>
          <w:kern w:val="0"/>
          <w:sz w:val="32"/>
          <w:szCs w:val="24"/>
          <w:highlight w:val="none"/>
          <w:lang w:val="en-US" w:eastAsia="zh-CN" w:bidi="ar-SA"/>
        </w:rPr>
        <w:t>（3）对站内对时系统扩容，新增1面10kV高压室对时扩展及交换机屏。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b w:val="0"/>
          <w:color w:val="auto"/>
          <w:kern w:val="0"/>
          <w:sz w:val="32"/>
          <w:szCs w:val="24"/>
          <w:highlight w:val="none"/>
          <w:lang w:val="en-US" w:eastAsia="zh-CN" w:bidi="ar-SA"/>
        </w:rPr>
      </w:pPr>
      <w:r>
        <w:rPr>
          <w:rFonts w:hint="eastAsia" w:ascii="仿宋_GB2312" w:hAnsi="仿宋_GB2312" w:eastAsia="仿宋_GB2312"/>
          <w:b w:val="0"/>
          <w:color w:val="auto"/>
          <w:kern w:val="0"/>
          <w:sz w:val="32"/>
          <w:szCs w:val="24"/>
          <w:highlight w:val="none"/>
          <w:lang w:val="en-US" w:eastAsia="zh-CN" w:bidi="ar-SA"/>
        </w:rPr>
        <w:t>4.电源系统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default" w:ascii="仿宋_GB2312" w:hAnsi="仿宋_GB2312" w:eastAsia="仿宋_GB2312"/>
          <w:b w:val="0"/>
          <w:color w:val="auto"/>
          <w:kern w:val="0"/>
          <w:sz w:val="32"/>
          <w:szCs w:val="24"/>
          <w:highlight w:val="none"/>
          <w:lang w:val="en-US" w:eastAsia="zh-CN" w:bidi="ar-SA"/>
        </w:rPr>
      </w:pPr>
      <w:r>
        <w:rPr>
          <w:rFonts w:hint="default" w:ascii="仿宋_GB2312" w:hAnsi="仿宋_GB2312" w:eastAsia="仿宋_GB2312"/>
          <w:b w:val="0"/>
          <w:color w:val="auto"/>
          <w:kern w:val="0"/>
          <w:sz w:val="32"/>
          <w:szCs w:val="24"/>
          <w:highlight w:val="none"/>
          <w:lang w:val="en-US" w:eastAsia="zh-CN" w:bidi="ar-SA"/>
        </w:rPr>
        <w:t>本期扩建设备接入原有直流电源系统以及不间断电源系统。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b w:val="0"/>
          <w:color w:val="auto"/>
          <w:kern w:val="0"/>
          <w:sz w:val="32"/>
          <w:szCs w:val="24"/>
          <w:highlight w:val="none"/>
          <w:lang w:val="en-US" w:eastAsia="zh-CN" w:bidi="ar-SA"/>
        </w:rPr>
      </w:pPr>
      <w:r>
        <w:rPr>
          <w:rFonts w:hint="eastAsia" w:ascii="仿宋_GB2312" w:hAnsi="仿宋_GB2312" w:eastAsia="仿宋_GB2312"/>
          <w:b w:val="0"/>
          <w:color w:val="auto"/>
          <w:kern w:val="0"/>
          <w:sz w:val="32"/>
          <w:szCs w:val="24"/>
          <w:highlight w:val="none"/>
          <w:lang w:val="en-US" w:eastAsia="zh-CN" w:bidi="ar-SA"/>
        </w:rPr>
        <w:t>5.安全自动装置</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default" w:ascii="仿宋_GB2312" w:hAnsi="仿宋_GB2312" w:eastAsia="仿宋_GB2312" w:cs="Times New Roman"/>
          <w:b w:val="0"/>
          <w:color w:val="auto"/>
          <w:kern w:val="0"/>
          <w:sz w:val="32"/>
          <w:szCs w:val="24"/>
          <w:highlight w:val="none"/>
          <w:lang w:val="en-US" w:eastAsia="zh-CN" w:bidi="ar-SA"/>
        </w:rPr>
      </w:pPr>
      <w:r>
        <w:rPr>
          <w:rFonts w:hint="default" w:ascii="仿宋_GB2312" w:hAnsi="仿宋_GB2312" w:eastAsia="仿宋_GB2312"/>
          <w:b w:val="0"/>
          <w:color w:val="auto"/>
          <w:kern w:val="0"/>
          <w:sz w:val="32"/>
          <w:szCs w:val="24"/>
          <w:highlight w:val="none"/>
          <w:lang w:val="en-US" w:eastAsia="zh-CN" w:bidi="ar-SA"/>
        </w:rPr>
        <w:t>本期</w:t>
      </w:r>
      <w:r>
        <w:rPr>
          <w:rFonts w:hint="default" w:ascii="仿宋_GB2312" w:hAnsi="仿宋_GB2312" w:eastAsia="仿宋_GB2312" w:cs="Times New Roman"/>
          <w:b w:val="0"/>
          <w:color w:val="auto"/>
          <w:kern w:val="0"/>
          <w:sz w:val="32"/>
          <w:szCs w:val="24"/>
          <w:highlight w:val="none"/>
          <w:lang w:val="en-US" w:eastAsia="zh-CN" w:bidi="ar-SA"/>
        </w:rPr>
        <w:t>新增</w:t>
      </w:r>
      <w:r>
        <w:rPr>
          <w:rFonts w:hint="eastAsia" w:ascii="仿宋_GB2312" w:hAnsi="仿宋_GB2312" w:eastAsia="仿宋_GB2312" w:cs="Times New Roman"/>
          <w:b w:val="0"/>
          <w:color w:val="auto"/>
          <w:kern w:val="0"/>
          <w:sz w:val="32"/>
          <w:szCs w:val="24"/>
          <w:highlight w:val="none"/>
          <w:lang w:val="en-US" w:eastAsia="zh-CN" w:bidi="ar-SA"/>
        </w:rPr>
        <w:t>一台10kV备自投装置</w:t>
      </w:r>
      <w:r>
        <w:rPr>
          <w:rFonts w:hint="default" w:ascii="仿宋_GB2312" w:hAnsi="仿宋_GB2312" w:eastAsia="仿宋_GB2312" w:cs="Times New Roman"/>
          <w:b w:val="0"/>
          <w:color w:val="auto"/>
          <w:kern w:val="0"/>
          <w:sz w:val="32"/>
          <w:szCs w:val="24"/>
          <w:highlight w:val="none"/>
          <w:lang w:val="en-US" w:eastAsia="zh-CN" w:bidi="ar-SA"/>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b w:val="0"/>
          <w:color w:val="auto"/>
          <w:kern w:val="0"/>
          <w:sz w:val="32"/>
          <w:szCs w:val="24"/>
          <w:highlight w:val="none"/>
          <w:lang w:val="en-US" w:eastAsia="zh-CN" w:bidi="ar-SA"/>
        </w:rPr>
      </w:pPr>
      <w:r>
        <w:rPr>
          <w:rFonts w:hint="eastAsia" w:ascii="仿宋_GB2312" w:hAnsi="仿宋_GB2312" w:eastAsia="仿宋_GB2312"/>
          <w:b w:val="0"/>
          <w:color w:val="auto"/>
          <w:kern w:val="0"/>
          <w:sz w:val="32"/>
          <w:szCs w:val="24"/>
          <w:highlight w:val="none"/>
          <w:lang w:val="en-US" w:eastAsia="zh-CN" w:bidi="ar-SA"/>
        </w:rPr>
        <w:t>6.二次保护</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default" w:ascii="仿宋_GB2312" w:hAnsi="仿宋_GB2312" w:eastAsia="仿宋_GB2312" w:cs="Times New Roman"/>
          <w:b w:val="0"/>
          <w:color w:val="auto"/>
          <w:kern w:val="0"/>
          <w:sz w:val="32"/>
          <w:szCs w:val="24"/>
          <w:highlight w:val="none"/>
          <w:lang w:val="en-US" w:eastAsia="zh-CN" w:bidi="ar-SA"/>
        </w:rPr>
      </w:pPr>
      <w:r>
        <w:rPr>
          <w:rFonts w:hint="eastAsia" w:ascii="仿宋_GB2312" w:hAnsi="仿宋_GB2312" w:eastAsia="仿宋_GB2312" w:cs="Times New Roman"/>
          <w:b w:val="0"/>
          <w:color w:val="auto"/>
          <w:kern w:val="0"/>
          <w:sz w:val="32"/>
          <w:szCs w:val="24"/>
          <w:highlight w:val="none"/>
          <w:lang w:val="en-US" w:eastAsia="zh-CN" w:bidi="ar-SA"/>
        </w:rPr>
        <w:t>（1）本期扩建主变接入110kV 2M，不配置110kV线路保护。其余110kV线路保护未达到运行年限，本期不改造。</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default" w:ascii="仿宋_GB2312" w:hAnsi="仿宋_GB2312" w:eastAsia="仿宋_GB2312" w:cs="Times New Roman"/>
          <w:b w:val="0"/>
          <w:color w:val="auto"/>
          <w:kern w:val="0"/>
          <w:sz w:val="32"/>
          <w:szCs w:val="24"/>
          <w:highlight w:val="none"/>
          <w:lang w:val="en-US" w:eastAsia="zh-CN" w:bidi="ar-SA"/>
        </w:rPr>
      </w:pPr>
      <w:r>
        <w:rPr>
          <w:rFonts w:hint="eastAsia" w:ascii="仿宋_GB2312" w:hAnsi="仿宋_GB2312" w:eastAsia="仿宋_GB2312" w:cs="Times New Roman"/>
          <w:b w:val="0"/>
          <w:color w:val="auto"/>
          <w:kern w:val="0"/>
          <w:sz w:val="32"/>
          <w:szCs w:val="24"/>
          <w:highlight w:val="none"/>
          <w:lang w:val="en-US" w:eastAsia="zh-CN" w:bidi="ar-SA"/>
        </w:rPr>
        <w:t>（2）本期扩建</w:t>
      </w:r>
      <w:r>
        <w:rPr>
          <w:rFonts w:hint="default" w:ascii="仿宋_GB2312" w:hAnsi="仿宋_GB2312" w:eastAsia="仿宋_GB2312" w:cs="Times New Roman"/>
          <w:b w:val="0"/>
          <w:color w:val="auto"/>
          <w:kern w:val="0"/>
          <w:sz w:val="32"/>
          <w:szCs w:val="24"/>
          <w:highlight w:val="none"/>
          <w:lang w:val="en-US" w:eastAsia="zh-CN" w:bidi="ar-SA"/>
        </w:rPr>
        <w:t>主变配置两套的主、后一体的电气量保护及一套非电量保护。</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default" w:ascii="仿宋_GB2312" w:hAnsi="仿宋_GB2312" w:eastAsia="仿宋_GB2312" w:cs="Times New Roman"/>
          <w:b w:val="0"/>
          <w:color w:val="auto"/>
          <w:kern w:val="0"/>
          <w:sz w:val="32"/>
          <w:szCs w:val="24"/>
          <w:highlight w:val="none"/>
          <w:lang w:val="en-US" w:eastAsia="zh-CN" w:bidi="ar-SA"/>
        </w:rPr>
      </w:pPr>
      <w:r>
        <w:rPr>
          <w:rFonts w:hint="eastAsia" w:ascii="仿宋_GB2312" w:hAnsi="仿宋_GB2312" w:eastAsia="仿宋_GB2312" w:cs="Times New Roman"/>
          <w:b w:val="0"/>
          <w:color w:val="auto"/>
          <w:kern w:val="0"/>
          <w:sz w:val="32"/>
          <w:szCs w:val="24"/>
          <w:highlight w:val="none"/>
          <w:lang w:val="en-US" w:eastAsia="zh-CN" w:bidi="ar-SA"/>
        </w:rPr>
        <w:t>（3）本期新增一套110kV分段保护。</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default" w:ascii="仿宋_GB2312" w:hAnsi="仿宋_GB2312" w:eastAsia="仿宋_GB2312" w:cs="Times New Roman"/>
          <w:b w:val="0"/>
          <w:color w:val="auto"/>
          <w:kern w:val="0"/>
          <w:sz w:val="32"/>
          <w:szCs w:val="24"/>
          <w:highlight w:val="none"/>
          <w:lang w:val="en-US" w:eastAsia="zh-CN" w:bidi="ar-SA"/>
        </w:rPr>
      </w:pPr>
      <w:r>
        <w:rPr>
          <w:rFonts w:hint="eastAsia" w:ascii="仿宋_GB2312" w:hAnsi="仿宋_GB2312" w:eastAsia="仿宋_GB2312" w:cs="Times New Roman"/>
          <w:b w:val="0"/>
          <w:color w:val="auto"/>
          <w:kern w:val="0"/>
          <w:sz w:val="32"/>
          <w:szCs w:val="24"/>
          <w:highlight w:val="none"/>
          <w:lang w:val="en-US" w:eastAsia="zh-CN" w:bidi="ar-SA"/>
        </w:rPr>
        <w:t>（4）本期扩建</w:t>
      </w:r>
      <w:r>
        <w:rPr>
          <w:rFonts w:hint="default" w:ascii="仿宋_GB2312" w:hAnsi="仿宋_GB2312" w:eastAsia="仿宋_GB2312" w:cs="Times New Roman"/>
          <w:b w:val="0"/>
          <w:color w:val="auto"/>
          <w:kern w:val="0"/>
          <w:sz w:val="32"/>
          <w:szCs w:val="24"/>
          <w:highlight w:val="none"/>
          <w:lang w:val="en-US" w:eastAsia="zh-CN" w:bidi="ar-SA"/>
        </w:rPr>
        <w:t>10kV</w:t>
      </w:r>
      <w:r>
        <w:rPr>
          <w:rFonts w:hint="eastAsia" w:ascii="仿宋_GB2312" w:hAnsi="仿宋_GB2312" w:eastAsia="仿宋_GB2312" w:cs="Times New Roman"/>
          <w:b w:val="0"/>
          <w:color w:val="auto"/>
          <w:kern w:val="0"/>
          <w:sz w:val="32"/>
          <w:szCs w:val="24"/>
          <w:highlight w:val="none"/>
          <w:lang w:val="en-US" w:eastAsia="zh-CN" w:bidi="ar-SA"/>
        </w:rPr>
        <w:t>设备</w:t>
      </w:r>
      <w:r>
        <w:rPr>
          <w:rFonts w:hint="default" w:ascii="仿宋_GB2312" w:hAnsi="仿宋_GB2312" w:eastAsia="仿宋_GB2312" w:cs="Times New Roman"/>
          <w:b w:val="0"/>
          <w:color w:val="auto"/>
          <w:kern w:val="0"/>
          <w:sz w:val="32"/>
          <w:szCs w:val="24"/>
          <w:highlight w:val="none"/>
          <w:lang w:val="en-US" w:eastAsia="zh-CN" w:bidi="ar-SA"/>
        </w:rPr>
        <w:t>配置保护测控一体化装置，就地布置于开关柜。</w:t>
      </w:r>
    </w:p>
    <w:p>
      <w:pPr>
        <w:autoSpaceDE w:val="0"/>
        <w:spacing w:line="560" w:lineRule="exact"/>
        <w:ind w:firstLine="640" w:firstLineChars="200"/>
        <w:rPr>
          <w:rFonts w:hint="default" w:ascii="仿宋_GB2312" w:hAnsi="仿宋_GB2312" w:eastAsia="仿宋_GB2312" w:cs="Times New Roman"/>
          <w:b w:val="0"/>
          <w:color w:val="auto"/>
          <w:kern w:val="0"/>
          <w:sz w:val="32"/>
          <w:szCs w:val="24"/>
          <w:highlight w:val="none"/>
          <w:lang w:val="en-US" w:eastAsia="zh-CN" w:bidi="ar-SA"/>
        </w:rPr>
      </w:pPr>
      <w:r>
        <w:rPr>
          <w:rFonts w:hint="eastAsia" w:ascii="仿宋_GB2312" w:hAnsi="仿宋_GB2312" w:eastAsia="仿宋_GB2312"/>
          <w:kern w:val="0"/>
          <w:sz w:val="32"/>
          <w:szCs w:val="24"/>
          <w:highlight w:val="none"/>
        </w:rPr>
        <w:t>（</w:t>
      </w:r>
      <w:r>
        <w:rPr>
          <w:rFonts w:hint="eastAsia" w:ascii="仿宋_GB2312" w:hAnsi="仿宋_GB2312" w:eastAsia="仿宋_GB2312"/>
          <w:kern w:val="0"/>
          <w:sz w:val="32"/>
          <w:szCs w:val="24"/>
          <w:highlight w:val="none"/>
          <w:lang w:val="en-US" w:eastAsia="zh-CN"/>
        </w:rPr>
        <w:t>5</w:t>
      </w:r>
      <w:r>
        <w:rPr>
          <w:rFonts w:hint="eastAsia" w:ascii="仿宋_GB2312" w:hAnsi="仿宋_GB2312" w:eastAsia="仿宋_GB2312"/>
          <w:kern w:val="0"/>
          <w:sz w:val="32"/>
          <w:szCs w:val="24"/>
          <w:highlight w:val="none"/>
        </w:rPr>
        <w:t>）</w:t>
      </w:r>
      <w:r>
        <w:rPr>
          <w:rFonts w:hint="eastAsia" w:ascii="仿宋_GB2312" w:hAnsi="仿宋_GB2312" w:eastAsia="仿宋_GB2312" w:cs="Times New Roman"/>
          <w:b w:val="0"/>
          <w:color w:val="auto"/>
          <w:kern w:val="0"/>
          <w:sz w:val="32"/>
          <w:szCs w:val="24"/>
          <w:highlight w:val="none"/>
          <w:lang w:val="en-US" w:eastAsia="zh-CN" w:bidi="ar-SA"/>
        </w:rPr>
        <w:t>智能辅助监控系统扩容。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Times New Roman"/>
          <w:b w:val="0"/>
          <w:color w:val="auto"/>
          <w:kern w:val="0"/>
          <w:sz w:val="32"/>
          <w:szCs w:val="24"/>
          <w:highlight w:val="none"/>
          <w:lang w:val="en-US" w:eastAsia="zh-CN" w:bidi="ar-SA"/>
        </w:rPr>
      </w:pPr>
      <w:r>
        <w:rPr>
          <w:rFonts w:hint="eastAsia" w:ascii="仿宋_GB2312" w:hAnsi="仿宋_GB2312" w:eastAsia="仿宋_GB2312" w:cs="Times New Roman"/>
          <w:b w:val="0"/>
          <w:color w:val="auto"/>
          <w:kern w:val="0"/>
          <w:sz w:val="32"/>
          <w:szCs w:val="24"/>
          <w:highlight w:val="none"/>
          <w:lang w:val="en-US" w:eastAsia="zh-CN" w:bidi="ar-SA"/>
        </w:rPr>
        <w:t>（6）火灾自动报警系统扩容。</w:t>
      </w:r>
    </w:p>
    <w:p>
      <w:pPr>
        <w:pStyle w:val="7"/>
        <w:pageBreakBefore w:val="0"/>
        <w:widowControl w:val="0"/>
        <w:numPr>
          <w:ilvl w:val="0"/>
          <w:numId w:val="0"/>
        </w:numPr>
        <w:kinsoku/>
        <w:wordWrap/>
        <w:overflowPunct/>
        <w:topLinePunct w:val="0"/>
        <w:autoSpaceDN/>
        <w:bidi w:val="0"/>
        <w:adjustRightInd w:val="0"/>
        <w:snapToGrid w:val="0"/>
        <w:spacing w:line="560" w:lineRule="exact"/>
        <w:ind w:left="630" w:leftChars="0"/>
        <w:jc w:val="both"/>
        <w:rPr>
          <w:rFonts w:hint="eastAsia" w:ascii="楷体" w:hAnsi="楷体" w:eastAsia="楷体" w:cs="楷体"/>
          <w:b w:val="0"/>
          <w:bCs/>
          <w:color w:val="auto"/>
          <w:sz w:val="32"/>
          <w:szCs w:val="32"/>
          <w:highlight w:val="none"/>
        </w:rPr>
      </w:pPr>
      <w:r>
        <w:rPr>
          <w:rFonts w:hint="eastAsia" w:ascii="楷体" w:hAnsi="楷体" w:eastAsia="楷体" w:cs="楷体"/>
          <w:b w:val="0"/>
          <w:bCs/>
          <w:color w:val="auto"/>
          <w:sz w:val="32"/>
          <w:szCs w:val="32"/>
          <w:highlight w:val="none"/>
        </w:rPr>
        <w:t>（六）</w:t>
      </w:r>
      <w:r>
        <w:rPr>
          <w:rFonts w:hint="eastAsia" w:ascii="楷体_GB2312" w:hAnsi="楷体_GB2312" w:eastAsia="楷体_GB2312" w:cs="楷体_GB2312"/>
          <w:color w:val="auto"/>
          <w:sz w:val="32"/>
          <w:szCs w:val="32"/>
          <w:highlight w:val="none"/>
        </w:rPr>
        <w:t>土建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1.建站场地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110千伏太平</w:t>
      </w:r>
      <w:r>
        <w:rPr>
          <w:rFonts w:hint="eastAsia" w:ascii="仿宋" w:hAnsi="仿宋" w:eastAsia="仿宋" w:cs="仿宋"/>
          <w:color w:val="auto"/>
          <w:sz w:val="32"/>
          <w:szCs w:val="32"/>
          <w:highlight w:val="none"/>
        </w:rPr>
        <w:t>变电站</w:t>
      </w:r>
      <w:r>
        <w:rPr>
          <w:rFonts w:hint="eastAsia" w:ascii="仿宋" w:hAnsi="仿宋" w:eastAsia="仿宋" w:cs="仿宋"/>
          <w:color w:val="auto"/>
          <w:sz w:val="32"/>
          <w:szCs w:val="32"/>
          <w:highlight w:val="none"/>
          <w:lang w:eastAsia="zh-CN"/>
        </w:rPr>
        <w:t>站址</w:t>
      </w:r>
      <w:r>
        <w:rPr>
          <w:rFonts w:hint="eastAsia" w:ascii="仿宋" w:hAnsi="仿宋" w:eastAsia="仿宋" w:cs="仿宋"/>
          <w:color w:val="auto"/>
          <w:sz w:val="32"/>
          <w:szCs w:val="32"/>
          <w:highlight w:val="none"/>
        </w:rPr>
        <w:t>位于</w:t>
      </w:r>
      <w:r>
        <w:rPr>
          <w:rFonts w:hint="eastAsia" w:ascii="仿宋" w:hAnsi="仿宋" w:eastAsia="仿宋" w:cs="仿宋"/>
          <w:color w:val="auto"/>
          <w:sz w:val="32"/>
          <w:szCs w:val="32"/>
          <w:highlight w:val="none"/>
          <w:lang w:eastAsia="zh-CN"/>
        </w:rPr>
        <w:t>广州市</w:t>
      </w:r>
      <w:r>
        <w:rPr>
          <w:rFonts w:hint="eastAsia" w:ascii="仿宋" w:hAnsi="仿宋" w:eastAsia="仿宋" w:cs="仿宋"/>
          <w:color w:val="auto"/>
          <w:sz w:val="32"/>
          <w:szCs w:val="32"/>
          <w:highlight w:val="none"/>
          <w:lang w:val="en-US" w:eastAsia="zh-CN"/>
        </w:rPr>
        <w:t>从化</w:t>
      </w:r>
      <w:r>
        <w:rPr>
          <w:rFonts w:hint="eastAsia" w:ascii="仿宋" w:hAnsi="仿宋" w:eastAsia="仿宋" w:cs="仿宋"/>
          <w:color w:val="auto"/>
          <w:sz w:val="32"/>
          <w:szCs w:val="32"/>
          <w:highlight w:val="none"/>
        </w:rPr>
        <w:t>区</w:t>
      </w:r>
      <w:r>
        <w:rPr>
          <w:rFonts w:hint="eastAsia" w:ascii="仿宋" w:hAnsi="仿宋" w:eastAsia="仿宋" w:cs="仿宋"/>
          <w:color w:val="auto"/>
          <w:sz w:val="32"/>
          <w:szCs w:val="32"/>
          <w:highlight w:val="none"/>
          <w:lang w:val="en-US" w:eastAsia="zh-CN"/>
        </w:rPr>
        <w:t>太平镇中花路以南</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属已建成投产运行的</w:t>
      </w:r>
      <w:r>
        <w:rPr>
          <w:rFonts w:hint="eastAsia" w:ascii="仿宋" w:hAnsi="仿宋" w:eastAsia="仿宋" w:cs="仿宋"/>
          <w:color w:val="auto"/>
          <w:sz w:val="32"/>
          <w:szCs w:val="32"/>
          <w:highlight w:val="none"/>
          <w:lang w:val="en-US" w:eastAsia="zh-CN"/>
        </w:rPr>
        <w:t>户外</w:t>
      </w:r>
      <w:r>
        <w:rPr>
          <w:rFonts w:hint="eastAsia" w:ascii="仿宋" w:hAnsi="仿宋" w:eastAsia="仿宋" w:cs="仿宋"/>
          <w:color w:val="auto"/>
          <w:sz w:val="32"/>
          <w:szCs w:val="32"/>
          <w:highlight w:val="none"/>
        </w:rPr>
        <w:t>变电站。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本期拟扩建第三台主变，站区原有用地范围满足本期扩建需求，不涉及新征土地。变电站站内已完成道路修建，具备本期扩建工程大件设备的交通运输条件。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站址场地设计高程与首期工程保持一致。站区场地采用平坡式布置，全站场地平整挖填平衡。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2.建筑结构及地基基础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本工程50年一遇设计基本风压值为0.</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0kN/㎡。站址地区的抗震设防烈度为</w:t>
      </w:r>
      <w:r>
        <w:rPr>
          <w:rFonts w:hint="eastAsia" w:ascii="仿宋" w:hAnsi="仿宋" w:eastAsia="仿宋" w:cs="仿宋"/>
          <w:color w:val="auto"/>
          <w:sz w:val="32"/>
          <w:szCs w:val="32"/>
          <w:highlight w:val="none"/>
          <w:lang w:val="en-US" w:eastAsia="zh-CN"/>
        </w:rPr>
        <w:t>6</w:t>
      </w:r>
      <w:r>
        <w:rPr>
          <w:rFonts w:hint="eastAsia" w:ascii="仿宋" w:hAnsi="仿宋" w:eastAsia="仿宋" w:cs="仿宋"/>
          <w:color w:val="auto"/>
          <w:sz w:val="32"/>
          <w:szCs w:val="32"/>
          <w:highlight w:val="none"/>
        </w:rPr>
        <w:t>度0.</w:t>
      </w:r>
      <w:r>
        <w:rPr>
          <w:rFonts w:hint="eastAsia" w:ascii="仿宋" w:hAnsi="仿宋" w:eastAsia="仿宋" w:cs="仿宋"/>
          <w:color w:val="auto"/>
          <w:sz w:val="32"/>
          <w:szCs w:val="32"/>
          <w:highlight w:val="none"/>
          <w:lang w:val="en-US" w:eastAsia="zh-CN"/>
        </w:rPr>
        <w:t>05</w:t>
      </w:r>
      <w:r>
        <w:rPr>
          <w:rFonts w:hint="eastAsia" w:ascii="仿宋" w:hAnsi="仿宋" w:eastAsia="仿宋" w:cs="仿宋"/>
          <w:color w:val="auto"/>
          <w:sz w:val="32"/>
          <w:szCs w:val="32"/>
          <w:highlight w:val="none"/>
        </w:rPr>
        <w:t>g。</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本期新建1座高压室，建筑面积135.3</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采用钢筋混凝土框架结构。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color w:val="auto"/>
          <w:lang w:val="en-US" w:eastAsia="zh-CN"/>
        </w:rPr>
      </w:pPr>
      <w:r>
        <w:rPr>
          <w:rFonts w:hint="eastAsia" w:ascii="仿宋" w:hAnsi="仿宋" w:eastAsia="仿宋" w:cs="仿宋"/>
          <w:color w:val="auto"/>
          <w:sz w:val="32"/>
          <w:szCs w:val="32"/>
          <w:highlight w:val="none"/>
        </w:rPr>
        <w:t>本期</w:t>
      </w:r>
      <w:r>
        <w:rPr>
          <w:rFonts w:hint="eastAsia" w:ascii="仿宋" w:hAnsi="仿宋" w:eastAsia="仿宋" w:cs="仿宋"/>
          <w:color w:val="auto"/>
          <w:sz w:val="32"/>
          <w:szCs w:val="32"/>
          <w:highlight w:val="none"/>
          <w:lang w:val="en-US" w:eastAsia="zh-CN"/>
        </w:rPr>
        <w:t>拆除原35kV场地内的设备构支架及基础，拆除110kV扩建间隔内的构支架及基础。配合电气在扩建的110kV间隔内新建设备构支架及基础、HGIS基础、电缆沟等；新建主变基础、贮油坑和主变构支架及基础；新建电容器组基础和防火墙、事故油池、避雷针及基础；拆除并新建原站用变基础。按需恢复站内道路和绿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新建</w:t>
      </w:r>
      <w:r>
        <w:rPr>
          <w:rFonts w:hint="eastAsia" w:ascii="仿宋" w:hAnsi="仿宋" w:eastAsia="仿宋" w:cs="仿宋"/>
          <w:color w:val="auto"/>
          <w:sz w:val="32"/>
          <w:szCs w:val="32"/>
          <w:highlight w:val="none"/>
          <w:lang w:val="en-US" w:eastAsia="zh-CN"/>
        </w:rPr>
        <w:t>的主变基础、构架基础、HGIS基础、避雷针、电抗器基础等采用钢管桩基础，建筑物采用筏板基础；其余设备基础采用天然地基浅基础。构、支架</w:t>
      </w:r>
      <w:r>
        <w:rPr>
          <w:rFonts w:hint="eastAsia" w:ascii="仿宋_GB2312" w:hAnsi="仿宋_GB2312" w:eastAsia="仿宋_GB2312"/>
          <w:b w:val="0"/>
          <w:color w:val="auto"/>
          <w:kern w:val="0"/>
          <w:sz w:val="32"/>
          <w:szCs w:val="32"/>
          <w:highlight w:val="none"/>
          <w:lang w:val="en-US" w:eastAsia="zh-CN" w:bidi="ar-SA"/>
        </w:rPr>
        <w:t>采用混凝土环形杆结构，电缆沟采用钢筋混凝土结构</w:t>
      </w:r>
      <w:r>
        <w:rPr>
          <w:rFonts w:hint="eastAsia" w:ascii="仿宋" w:hAnsi="仿宋" w:eastAsia="仿宋" w:cs="仿宋"/>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color w:val="auto"/>
          <w:sz w:val="32"/>
          <w:szCs w:val="32"/>
          <w:highlight w:val="none"/>
        </w:rPr>
      </w:pPr>
      <w:r>
        <w:rPr>
          <w:rFonts w:hint="eastAsia" w:ascii="仿宋_GB2312" w:hAnsi="仿宋_GB2312" w:eastAsia="仿宋_GB2312" w:cs="仿宋_GB2312"/>
          <w:b w:val="0"/>
          <w:color w:val="auto"/>
          <w:sz w:val="32"/>
          <w:szCs w:val="32"/>
          <w:highlight w:val="none"/>
          <w:lang w:val="en-US" w:eastAsia="zh-CN"/>
        </w:rPr>
        <w:t>3.</w:t>
      </w:r>
      <w:r>
        <w:rPr>
          <w:rFonts w:hint="eastAsia" w:ascii="仿宋_GB2312" w:hAnsi="仿宋_GB2312" w:eastAsia="仿宋_GB2312" w:cs="仿宋_GB2312"/>
          <w:b w:val="0"/>
          <w:color w:val="auto"/>
          <w:sz w:val="32"/>
          <w:szCs w:val="32"/>
          <w:highlight w:val="none"/>
        </w:rPr>
        <w:t>给水及消防</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全</w:t>
      </w:r>
      <w:r>
        <w:rPr>
          <w:rFonts w:hint="eastAsia" w:ascii="仿宋" w:hAnsi="仿宋" w:eastAsia="仿宋" w:cs="仿宋"/>
          <w:color w:val="auto"/>
          <w:sz w:val="32"/>
          <w:szCs w:val="32"/>
          <w:highlight w:val="none"/>
        </w:rPr>
        <w:t>站给水系统在首期已基本完成，本期无需改造。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全站消火栓系统首期已经完成，</w:t>
      </w:r>
      <w:r>
        <w:rPr>
          <w:rFonts w:hint="eastAsia" w:ascii="仿宋" w:hAnsi="仿宋" w:eastAsia="仿宋" w:cs="仿宋"/>
          <w:color w:val="auto"/>
          <w:sz w:val="32"/>
          <w:szCs w:val="32"/>
          <w:highlight w:val="none"/>
        </w:rPr>
        <w:t>本期无需改造</w:t>
      </w:r>
      <w:r>
        <w:rPr>
          <w:rFonts w:hint="eastAsia" w:ascii="仿宋" w:hAnsi="仿宋" w:eastAsia="仿宋" w:cs="仿宋"/>
          <w:color w:val="auto"/>
          <w:sz w:val="32"/>
          <w:szCs w:val="32"/>
          <w:highlight w:val="none"/>
          <w:lang w:val="en-US" w:eastAsia="zh-CN"/>
        </w:rPr>
        <w:t>；本期扩建#3主变设置感温电缆和推车式灭火器。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4.交通运输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进站</w:t>
      </w:r>
      <w:r>
        <w:rPr>
          <w:rFonts w:hint="eastAsia" w:ascii="仿宋_GB2312" w:hAnsi="仿宋_GB2312" w:eastAsia="仿宋_GB2312" w:cs="Times New Roman"/>
          <w:b w:val="0"/>
          <w:color w:val="auto"/>
          <w:kern w:val="0"/>
          <w:sz w:val="32"/>
          <w:szCs w:val="32"/>
          <w:highlight w:val="none"/>
          <w:lang w:val="en-US" w:eastAsia="zh-CN" w:bidi="ar-SA"/>
        </w:rPr>
        <w:t>道路</w:t>
      </w:r>
      <w:r>
        <w:rPr>
          <w:rFonts w:hint="eastAsia" w:ascii="仿宋" w:hAnsi="仿宋" w:eastAsia="仿宋" w:cs="仿宋"/>
          <w:color w:val="auto"/>
          <w:sz w:val="32"/>
          <w:szCs w:val="32"/>
          <w:highlight w:val="none"/>
        </w:rPr>
        <w:t>从变电站</w:t>
      </w:r>
      <w:r>
        <w:rPr>
          <w:rFonts w:hint="eastAsia" w:ascii="仿宋" w:hAnsi="仿宋" w:eastAsia="仿宋" w:cs="仿宋"/>
          <w:color w:val="auto"/>
          <w:sz w:val="32"/>
          <w:szCs w:val="32"/>
          <w:highlight w:val="none"/>
          <w:lang w:val="en-US" w:eastAsia="zh-CN"/>
        </w:rPr>
        <w:t>东</w:t>
      </w:r>
      <w:r>
        <w:rPr>
          <w:rFonts w:hint="eastAsia" w:ascii="仿宋" w:hAnsi="仿宋" w:eastAsia="仿宋" w:cs="仿宋"/>
          <w:color w:val="auto"/>
          <w:sz w:val="32"/>
          <w:szCs w:val="32"/>
          <w:highlight w:val="none"/>
        </w:rPr>
        <w:t>面的道路引接,并已在前期工程建设完成，满足本期大件运输要求。主变运输采用铁路与公路联合运输方案</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设备运输车辆所经过的道路桥涵均满足设备运输要求。</w:t>
      </w:r>
    </w:p>
    <w:p>
      <w:pPr>
        <w:pStyle w:val="7"/>
        <w:pageBreakBefore w:val="0"/>
        <w:widowControl w:val="0"/>
        <w:numPr>
          <w:ilvl w:val="0"/>
          <w:numId w:val="0"/>
        </w:numPr>
        <w:kinsoku/>
        <w:wordWrap/>
        <w:overflowPunct/>
        <w:topLinePunct w:val="0"/>
        <w:autoSpaceDN/>
        <w:bidi w:val="0"/>
        <w:snapToGrid/>
        <w:ind w:left="630" w:leftChars="0"/>
        <w:jc w:val="both"/>
        <w:rPr>
          <w:rFonts w:hint="eastAsia" w:ascii="楷体_GB2312" w:hAnsi="楷体_GB2312" w:eastAsia="楷体_GB2312" w:cs="Times New Roman"/>
          <w:color w:val="auto"/>
          <w:sz w:val="32"/>
          <w:highlight w:val="none"/>
          <w:lang w:val="en-US" w:eastAsia="zh-CN"/>
        </w:rPr>
      </w:pPr>
      <w:r>
        <w:rPr>
          <w:rFonts w:hint="eastAsia" w:ascii="楷体_GB2312" w:hAnsi="楷体_GB2312" w:eastAsia="楷体_GB2312" w:cs="Times New Roman"/>
          <w:color w:val="auto"/>
          <w:sz w:val="32"/>
          <w:highlight w:val="none"/>
          <w:lang w:val="en-US" w:eastAsia="zh-CN"/>
        </w:rPr>
        <w:t>（七）对侧变电站工程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黑体" w:hAnsi="黑体" w:eastAsia="黑体" w:cs="Times New Roman"/>
          <w:b w:val="0"/>
          <w:bCs/>
          <w:i w:val="0"/>
          <w:color w:val="auto"/>
          <w:sz w:val="32"/>
          <w:szCs w:val="32"/>
          <w:highlight w:val="none"/>
        </w:rPr>
      </w:pPr>
      <w:r>
        <w:rPr>
          <w:rFonts w:hint="eastAsia" w:ascii="黑体" w:hAnsi="黑体" w:eastAsia="黑体" w:cs="Times New Roman"/>
          <w:b w:val="0"/>
          <w:bCs/>
          <w:i w:val="0"/>
          <w:color w:val="auto"/>
          <w:sz w:val="32"/>
          <w:szCs w:val="32"/>
          <w:highlight w:val="none"/>
          <w:lang w:eastAsia="zh-CN"/>
        </w:rPr>
        <w:t>五</w:t>
      </w:r>
      <w:r>
        <w:rPr>
          <w:rFonts w:hint="eastAsia" w:ascii="黑体" w:hAnsi="黑体" w:eastAsia="黑体" w:cs="Times New Roman"/>
          <w:b w:val="0"/>
          <w:bCs/>
          <w:i w:val="0"/>
          <w:color w:val="auto"/>
          <w:sz w:val="32"/>
          <w:szCs w:val="32"/>
          <w:highlight w:val="none"/>
        </w:rPr>
        <w:t>、系统通信</w:t>
      </w:r>
    </w:p>
    <w:p>
      <w:pPr>
        <w:pStyle w:val="7"/>
        <w:pageBreakBefore w:val="0"/>
        <w:widowControl w:val="0"/>
        <w:numPr>
          <w:ilvl w:val="0"/>
          <w:numId w:val="0"/>
        </w:numPr>
        <w:kinsoku/>
        <w:wordWrap/>
        <w:overflowPunct/>
        <w:topLinePunct w:val="0"/>
        <w:autoSpaceDN/>
        <w:bidi w:val="0"/>
        <w:adjustRightInd w:val="0"/>
        <w:snapToGrid w:val="0"/>
        <w:spacing w:line="560" w:lineRule="exact"/>
        <w:ind w:left="630" w:leftChars="0"/>
        <w:jc w:val="both"/>
        <w:rPr>
          <w:rFonts w:hint="eastAsia" w:ascii="楷体_GB2312" w:hAnsi="楷体_GB2312" w:eastAsia="楷体_GB2312" w:cs="Times New Roman"/>
          <w:color w:val="auto"/>
          <w:sz w:val="32"/>
          <w:szCs w:val="32"/>
          <w:highlight w:val="none"/>
          <w:lang w:val="en-US" w:eastAsia="zh-CN"/>
        </w:rPr>
      </w:pPr>
      <w:r>
        <w:rPr>
          <w:rFonts w:hint="eastAsia" w:ascii="楷体_GB2312" w:hAnsi="楷体_GB2312" w:eastAsia="楷体_GB2312" w:cs="Times New Roman"/>
          <w:color w:val="auto"/>
          <w:sz w:val="32"/>
          <w:szCs w:val="32"/>
          <w:highlight w:val="none"/>
          <w:lang w:val="en-US" w:eastAsia="zh-CN"/>
        </w:rPr>
        <w:t>（一）光缆建设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不涉及</w:t>
      </w:r>
      <w:r>
        <w:rPr>
          <w:rFonts w:hint="eastAsia" w:ascii="仿宋" w:hAnsi="仿宋" w:eastAsia="仿宋" w:cs="仿宋"/>
          <w:color w:val="auto"/>
          <w:sz w:val="32"/>
          <w:szCs w:val="32"/>
          <w:highlight w:val="none"/>
          <w:lang w:eastAsia="zh-CN"/>
        </w:rPr>
        <w:t>新建光缆</w:t>
      </w:r>
      <w:r>
        <w:rPr>
          <w:rFonts w:hint="eastAsia" w:ascii="仿宋" w:hAnsi="仿宋" w:eastAsia="仿宋" w:cs="仿宋"/>
          <w:color w:val="auto"/>
          <w:sz w:val="32"/>
          <w:szCs w:val="32"/>
          <w:highlight w:val="none"/>
          <w:lang w:val="en-US" w:eastAsia="zh-CN"/>
        </w:rPr>
        <w:t>。</w:t>
      </w:r>
    </w:p>
    <w:p>
      <w:pPr>
        <w:pStyle w:val="7"/>
        <w:pageBreakBefore w:val="0"/>
        <w:widowControl w:val="0"/>
        <w:numPr>
          <w:ilvl w:val="0"/>
          <w:numId w:val="0"/>
        </w:numPr>
        <w:kinsoku/>
        <w:wordWrap/>
        <w:overflowPunct/>
        <w:topLinePunct w:val="0"/>
        <w:autoSpaceDN/>
        <w:bidi w:val="0"/>
        <w:adjustRightInd w:val="0"/>
        <w:snapToGrid w:val="0"/>
        <w:spacing w:line="560" w:lineRule="exact"/>
        <w:ind w:left="630" w:leftChars="0"/>
        <w:jc w:val="both"/>
        <w:rPr>
          <w:rFonts w:hint="eastAsia" w:ascii="楷体_GB2312" w:hAnsi="楷体_GB2312" w:eastAsia="楷体_GB2312" w:cs="Times New Roman"/>
          <w:color w:val="auto"/>
          <w:sz w:val="32"/>
          <w:szCs w:val="32"/>
          <w:highlight w:val="none"/>
          <w:lang w:val="en-US" w:eastAsia="zh-CN"/>
        </w:rPr>
      </w:pPr>
      <w:r>
        <w:rPr>
          <w:rFonts w:hint="eastAsia" w:ascii="楷体_GB2312" w:hAnsi="楷体_GB2312" w:eastAsia="楷体_GB2312" w:cs="Times New Roman"/>
          <w:color w:val="auto"/>
          <w:sz w:val="32"/>
          <w:szCs w:val="32"/>
          <w:highlight w:val="none"/>
          <w:lang w:val="en-US" w:eastAsia="zh-CN"/>
        </w:rPr>
        <w:t>（二）设备配置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eastAsia="zh-CN"/>
        </w:rPr>
        <w:t>太平站、绿洲站传输新网B设备分别新增1套2M光接口板（含保护板），新建太平站至绿洲站的光差保护2M光通道</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textAlignment w:val="auto"/>
        <w:outlineLvl w:val="0"/>
        <w:rPr>
          <w:rFonts w:hint="eastAsia" w:ascii="黑体" w:hAnsi="黑体" w:eastAsia="黑体" w:cs="Times New Roman"/>
          <w:b w:val="0"/>
          <w:bCs/>
          <w:i w:val="0"/>
          <w:color w:val="auto"/>
          <w:sz w:val="32"/>
          <w:szCs w:val="32"/>
          <w:highlight w:val="none"/>
        </w:rPr>
      </w:pPr>
      <w:r>
        <w:rPr>
          <w:rFonts w:hint="eastAsia" w:ascii="黑体" w:hAnsi="黑体" w:eastAsia="黑体" w:cs="Times New Roman"/>
          <w:b w:val="0"/>
          <w:bCs/>
          <w:i w:val="0"/>
          <w:color w:val="auto"/>
          <w:sz w:val="32"/>
          <w:szCs w:val="32"/>
          <w:highlight w:val="none"/>
        </w:rPr>
        <w:t>送电线路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eastAsia="zh-CN"/>
        </w:rPr>
        <w:t>本工程新建电缆线路无相应标准设计模块，不涉及标准设计。</w:t>
      </w:r>
    </w:p>
    <w:p>
      <w:pPr>
        <w:pStyle w:val="7"/>
        <w:pageBreakBefore w:val="0"/>
        <w:widowControl w:val="0"/>
        <w:numPr>
          <w:ilvl w:val="0"/>
          <w:numId w:val="0"/>
        </w:numPr>
        <w:kinsoku/>
        <w:wordWrap/>
        <w:overflowPunct/>
        <w:topLinePunct w:val="0"/>
        <w:autoSpaceDN/>
        <w:bidi w:val="0"/>
        <w:adjustRightInd w:val="0"/>
        <w:snapToGrid w:val="0"/>
        <w:spacing w:line="560" w:lineRule="exact"/>
        <w:ind w:left="630" w:leftChars="0"/>
        <w:jc w:val="both"/>
        <w:rPr>
          <w:rFonts w:hint="eastAsia" w:ascii="楷体_GB2312" w:hAnsi="楷体_GB2312" w:eastAsia="楷体_GB2312" w:cs="Times New Roman"/>
          <w:color w:val="auto"/>
          <w:sz w:val="32"/>
          <w:szCs w:val="32"/>
          <w:highlight w:val="none"/>
          <w:lang w:val="en-US" w:eastAsia="zh-CN"/>
        </w:rPr>
      </w:pPr>
      <w:r>
        <w:rPr>
          <w:rFonts w:hint="eastAsia" w:ascii="楷体_GB2312" w:hAnsi="楷体_GB2312" w:eastAsia="楷体_GB2312" w:cs="Times New Roman"/>
          <w:color w:val="auto"/>
          <w:sz w:val="32"/>
          <w:szCs w:val="32"/>
          <w:highlight w:val="none"/>
          <w:lang w:val="en-US" w:eastAsia="zh-CN"/>
        </w:rPr>
        <w:t>（一）110kV线路</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b w:val="0"/>
          <w:i w:val="0"/>
          <w:color w:val="auto"/>
          <w:sz w:val="32"/>
          <w:szCs w:val="32"/>
          <w:highlight w:val="none"/>
          <w:lang w:val="en-US" w:eastAsia="zh-CN"/>
        </w:rPr>
      </w:pPr>
      <w:r>
        <w:rPr>
          <w:rFonts w:hint="eastAsia" w:ascii="仿宋_GB2312" w:hAnsi="仿宋_GB2312" w:eastAsia="仿宋_GB2312"/>
          <w:b w:val="0"/>
          <w:i w:val="0"/>
          <w:color w:val="auto"/>
          <w:sz w:val="32"/>
          <w:szCs w:val="32"/>
          <w:highlight w:val="none"/>
          <w:lang w:val="en-US" w:eastAsia="zh-CN"/>
        </w:rPr>
        <w:t>本线路工程位于广州从化区。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color w:val="auto"/>
          <w:sz w:val="32"/>
          <w:szCs w:val="32"/>
          <w:highlight w:val="none"/>
        </w:rPr>
      </w:pPr>
      <w:r>
        <w:rPr>
          <w:rFonts w:hint="eastAsia" w:ascii="仿宋_GB2312" w:hAnsi="仿宋_GB2312" w:eastAsia="仿宋_GB2312" w:cs="仿宋_GB2312"/>
          <w:b w:val="0"/>
          <w:color w:val="auto"/>
          <w:sz w:val="32"/>
          <w:szCs w:val="32"/>
          <w:highlight w:val="none"/>
          <w:lang w:val="en-US" w:eastAsia="zh-CN"/>
        </w:rPr>
        <w:t>1.</w:t>
      </w:r>
      <w:r>
        <w:rPr>
          <w:rFonts w:hint="eastAsia" w:ascii="仿宋_GB2312" w:hAnsi="仿宋_GB2312" w:eastAsia="仿宋_GB2312" w:cs="仿宋_GB2312"/>
          <w:b w:val="0"/>
          <w:color w:val="auto"/>
          <w:sz w:val="32"/>
          <w:szCs w:val="32"/>
          <w:highlight w:val="none"/>
        </w:rPr>
        <w:t>线路规模</w:t>
      </w:r>
    </w:p>
    <w:p>
      <w:pPr>
        <w:pStyle w:val="2"/>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left="-10" w:leftChars="0" w:firstLine="64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110kV太平站第三台主变工程利用原有线路送出，即太平扩建第三台主变接入汉太线，形成汉田</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凤尾#2</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#九佛#1</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太平#3，同步进行3T改造，即原#1变接入绿太甲线，原太利线T接绿太甲线，形成绿洲</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太平#1</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添利#1线路，#2变接入绿太乙线，形成绿洲</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太平#2</w:t>
      </w:r>
      <w:r>
        <w:rPr>
          <w:rFonts w:hint="eastAsia" w:ascii="仿宋_GB2312" w:hAnsi="仿宋_GB2312" w:eastAsia="仿宋_GB2312" w:cs="仿宋_GB2312"/>
          <w:bCs/>
          <w:color w:val="auto"/>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采用电缆型式将现状110kV汉太线调整至#3变出线间隔（现为备用间隔），同时将现状110kV绿太甲线调整至现母线PT间隔</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具体路径：</w:t>
      </w:r>
    </w:p>
    <w:p>
      <w:pPr>
        <w:keepNext w:val="0"/>
        <w:keepLines w:val="0"/>
        <w:pageBreakBefore w:val="0"/>
        <w:widowControl w:val="0"/>
        <w:kinsoku/>
        <w:wordWrap/>
        <w:overflowPunct/>
        <w:topLinePunct w:val="0"/>
        <w:bidi w:val="0"/>
        <w:adjustRightInd w:val="0"/>
        <w:snapToGrid w:val="0"/>
        <w:spacing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110kV绿太甲线站内电缆起于现绿太甲线出线间隔新建电缆终端，沿站内电缆沟敷设至母线PT间隔处户外终端，电缆路径长度约34米；110kV汉太线站内电缆起于现汉太线出线间隔新建电缆终端，沿站内电缆沟敷设至#3变出线间隔（现备用间隔）处户外终端，路径长度约20米。</w:t>
      </w:r>
    </w:p>
    <w:p>
      <w:pPr>
        <w:keepNext w:val="0"/>
        <w:keepLines w:val="0"/>
        <w:pageBreakBefore w:val="0"/>
        <w:widowControl w:val="0"/>
        <w:kinsoku/>
        <w:wordWrap/>
        <w:overflowPunct/>
        <w:topLinePunct w:val="0"/>
        <w:bidi w:val="0"/>
        <w:adjustRightInd w:val="0"/>
        <w:snapToGrid w:val="0"/>
        <w:spacing w:line="560" w:lineRule="exact"/>
        <w:ind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电缆铜导体截面1200mm</w:t>
      </w:r>
      <w:r>
        <w:rPr>
          <w:rFonts w:hint="eastAsia" w:ascii="仿宋_GB2312" w:hAnsi="仿宋_GB2312" w:eastAsia="仿宋_GB2312" w:cs="仿宋_GB2312"/>
          <w:color w:val="auto"/>
          <w:sz w:val="32"/>
          <w:szCs w:val="32"/>
          <w:highlight w:val="none"/>
          <w:vertAlign w:val="superscript"/>
          <w:lang w:val="en-US" w:eastAsia="zh-CN"/>
        </w:rPr>
        <w:t>2</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pacing w:val="-6"/>
          <w:sz w:val="32"/>
          <w:szCs w:val="32"/>
          <w:highlight w:val="none"/>
        </w:rPr>
        <w:t>110kV汉太线#40-#42塔</w:t>
      </w:r>
      <w:r>
        <w:rPr>
          <w:rFonts w:hint="eastAsia" w:ascii="仿宋_GB2312" w:hAnsi="仿宋_GB2312" w:eastAsia="仿宋_GB2312" w:cs="仿宋_GB2312"/>
          <w:color w:val="auto"/>
          <w:spacing w:val="-6"/>
          <w:sz w:val="32"/>
          <w:szCs w:val="32"/>
          <w:highlight w:val="none"/>
          <w:lang w:val="en-US" w:eastAsia="zh-CN"/>
        </w:rPr>
        <w:t>段更换耐热导线</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110kV汉太线#40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#42塔</w:t>
      </w:r>
      <w:r>
        <w:rPr>
          <w:rFonts w:hint="eastAsia" w:ascii="仿宋_GB2312" w:hAnsi="仿宋_GB2312" w:eastAsia="仿宋_GB2312" w:cs="仿宋_GB2312"/>
          <w:color w:val="auto"/>
          <w:sz w:val="32"/>
          <w:szCs w:val="32"/>
          <w:highlight w:val="none"/>
          <w:lang w:val="en-US" w:eastAsia="zh-CN"/>
        </w:rPr>
        <w:t>段</w:t>
      </w:r>
      <w:r>
        <w:rPr>
          <w:rFonts w:hint="eastAsia" w:ascii="仿宋_GB2312" w:hAnsi="仿宋_GB2312" w:eastAsia="仿宋_GB2312" w:cs="仿宋_GB2312"/>
          <w:color w:val="auto"/>
          <w:sz w:val="32"/>
          <w:szCs w:val="32"/>
          <w:highlight w:val="none"/>
          <w:lang w:eastAsia="zh-CN"/>
        </w:rPr>
        <w:t>原架设LGJ-240/40型钢芯铝绞线，</w:t>
      </w:r>
      <w:r>
        <w:rPr>
          <w:rFonts w:hint="eastAsia" w:ascii="仿宋_GB2312" w:hAnsi="仿宋_GB2312" w:eastAsia="仿宋_GB2312" w:cs="仿宋_GB2312"/>
          <w:color w:val="auto"/>
          <w:sz w:val="32"/>
          <w:szCs w:val="32"/>
          <w:highlight w:val="none"/>
          <w:lang w:val="en-US" w:eastAsia="zh-CN"/>
        </w:rPr>
        <w:t>本期</w:t>
      </w:r>
      <w:r>
        <w:rPr>
          <w:rFonts w:hint="eastAsia" w:ascii="仿宋_GB2312" w:hAnsi="仿宋_GB2312" w:eastAsia="仿宋_GB2312" w:cs="仿宋_GB2312"/>
          <w:color w:val="auto"/>
          <w:sz w:val="32"/>
          <w:szCs w:val="32"/>
          <w:highlight w:val="none"/>
          <w:lang w:eastAsia="zh-CN"/>
        </w:rPr>
        <w:t>更换</w:t>
      </w:r>
      <w:r>
        <w:rPr>
          <w:rFonts w:hint="eastAsia" w:ascii="仿宋_GB2312" w:hAnsi="仿宋_GB2312" w:eastAsia="仿宋_GB2312" w:cs="仿宋_GB2312"/>
          <w:color w:val="auto"/>
          <w:sz w:val="32"/>
          <w:szCs w:val="32"/>
          <w:highlight w:val="none"/>
          <w:lang w:val="en-US" w:eastAsia="zh-CN"/>
        </w:rPr>
        <w:t>为</w:t>
      </w:r>
      <w:r>
        <w:rPr>
          <w:rFonts w:hint="eastAsia" w:ascii="仿宋_GB2312" w:hAnsi="仿宋_GB2312" w:eastAsia="仿宋_GB2312" w:cs="仿宋_GB2312"/>
          <w:color w:val="auto"/>
          <w:sz w:val="32"/>
          <w:szCs w:val="32"/>
          <w:highlight w:val="none"/>
          <w:lang w:eastAsia="zh-CN"/>
        </w:rPr>
        <w:t>JNRLH1X1/LBY14-240/55铝包殷钢芯耐热铝合金绞线，换线段长度约0.4km。</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i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电缆铜导体截面采用1200mm</w:t>
      </w:r>
      <w:r>
        <w:rPr>
          <w:rFonts w:hint="eastAsia" w:ascii="仿宋_GB2312" w:hAnsi="仿宋_GB2312" w:eastAsia="仿宋_GB2312" w:cs="仿宋_GB2312"/>
          <w:color w:val="auto"/>
          <w:sz w:val="32"/>
          <w:szCs w:val="32"/>
          <w:highlight w:val="none"/>
          <w:vertAlign w:val="superscript"/>
          <w:lang w:val="en-US" w:eastAsia="zh-CN"/>
        </w:rPr>
        <w:t>2</w:t>
      </w:r>
      <w:r>
        <w:rPr>
          <w:rFonts w:hint="eastAsia" w:ascii="仿宋_GB2312" w:hAnsi="仿宋_GB2312" w:eastAsia="仿宋_GB2312" w:cs="仿宋_GB2312"/>
          <w:color w:val="auto"/>
          <w:sz w:val="32"/>
          <w:szCs w:val="32"/>
          <w:highlight w:val="none"/>
          <w:lang w:val="en-US" w:eastAsia="zh-CN"/>
        </w:rPr>
        <w:t>（设计输送容量179.3MVA，满足系统要求）。</w:t>
      </w:r>
      <w:r>
        <w:rPr>
          <w:rFonts w:hint="eastAsia" w:ascii="仿宋_GB2312" w:hAnsi="仿宋_GB2312" w:eastAsia="仿宋_GB2312" w:cs="仿宋_GB2312"/>
          <w:color w:val="auto"/>
          <w:spacing w:val="-6"/>
          <w:sz w:val="32"/>
          <w:szCs w:val="32"/>
          <w:highlight w:val="none"/>
        </w:rPr>
        <w:t>110kV汉太线#40-#42塔</w:t>
      </w:r>
      <w:r>
        <w:rPr>
          <w:rFonts w:hint="eastAsia" w:ascii="仿宋_GB2312" w:hAnsi="仿宋_GB2312" w:eastAsia="仿宋_GB2312" w:cs="仿宋_GB2312"/>
          <w:color w:val="auto"/>
          <w:spacing w:val="-6"/>
          <w:sz w:val="32"/>
          <w:szCs w:val="32"/>
          <w:highlight w:val="none"/>
          <w:lang w:val="en-US" w:eastAsia="zh-CN"/>
        </w:rPr>
        <w:t>段增容</w:t>
      </w:r>
      <w:r>
        <w:rPr>
          <w:rFonts w:hint="eastAsia" w:ascii="仿宋_GB2312" w:hAnsi="仿宋_GB2312" w:eastAsia="仿宋_GB2312" w:cs="仿宋_GB2312"/>
          <w:color w:val="auto"/>
          <w:sz w:val="32"/>
          <w:szCs w:val="32"/>
          <w:highlight w:val="none"/>
          <w:lang w:val="en-US" w:eastAsia="zh-CN"/>
        </w:rPr>
        <w:t>导线采用</w:t>
      </w:r>
      <w:r>
        <w:rPr>
          <w:rFonts w:hint="eastAsia" w:ascii="仿宋_GB2312" w:hAnsi="仿宋_GB2312" w:eastAsia="仿宋_GB2312" w:cs="仿宋_GB2312"/>
          <w:color w:val="auto"/>
          <w:sz w:val="32"/>
          <w:szCs w:val="32"/>
          <w:highlight w:val="none"/>
        </w:rPr>
        <w:t>JNRLH1X1/LBY14</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240/55铝包殷钢芯超耐热铝合金绞线</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b w:val="0"/>
          <w:i w:val="0"/>
          <w:color w:val="auto"/>
          <w:sz w:val="32"/>
          <w:szCs w:val="32"/>
          <w:highlight w:val="none"/>
          <w:lang w:val="en-US" w:eastAsia="zh-CN"/>
        </w:rPr>
        <w:t>线路长期允许载流量</w:t>
      </w:r>
      <w:r>
        <w:rPr>
          <w:rFonts w:hint="eastAsia" w:ascii="仿宋_GB2312" w:hAnsi="仿宋_GB2312" w:eastAsia="仿宋_GB2312" w:cs="仿宋_GB2312"/>
          <w:sz w:val="32"/>
          <w:szCs w:val="32"/>
          <w:highlight w:val="none"/>
        </w:rPr>
        <w:t>10</w:t>
      </w:r>
      <w:r>
        <w:rPr>
          <w:rFonts w:ascii="仿宋_GB2312" w:hAnsi="仿宋_GB2312" w:eastAsia="仿宋_GB2312" w:cs="仿宋_GB2312"/>
          <w:sz w:val="32"/>
          <w:szCs w:val="32"/>
          <w:highlight w:val="none"/>
        </w:rPr>
        <w:t>0</w:t>
      </w:r>
      <w:r>
        <w:rPr>
          <w:rFonts w:hint="eastAsia" w:ascii="仿宋_GB2312" w:hAnsi="仿宋_GB2312" w:eastAsia="仿宋_GB2312" w:cs="仿宋_GB2312"/>
          <w:sz w:val="32"/>
          <w:szCs w:val="32"/>
          <w:highlight w:val="none"/>
        </w:rPr>
        <w:t>2A（环境气温35℃，导线运行温度150℃时）。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color w:val="auto"/>
          <w:sz w:val="32"/>
          <w:szCs w:val="32"/>
          <w:highlight w:val="none"/>
          <w:lang w:val="en-US" w:eastAsia="zh-CN"/>
        </w:rPr>
      </w:pPr>
      <w:r>
        <w:rPr>
          <w:rFonts w:hint="eastAsia" w:ascii="仿宋_GB2312" w:hAnsi="仿宋_GB2312" w:eastAsia="仿宋_GB2312" w:cs="仿宋_GB2312"/>
          <w:b w:val="0"/>
          <w:color w:val="auto"/>
          <w:sz w:val="32"/>
          <w:szCs w:val="32"/>
          <w:highlight w:val="none"/>
          <w:lang w:val="en-US" w:eastAsia="zh-CN"/>
        </w:rPr>
        <w:t>2.导线、电缆选型</w:t>
      </w:r>
    </w:p>
    <w:p>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电缆采用交联聚乙烯绝缘皱纹铝套聚乙烯护套防蚁型单芯电力电缆。</w:t>
      </w:r>
    </w:p>
    <w:p>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110kV汉太线#40-#42塔段增容改造段导线采用JNRLH1X1/LBY14-240/55铝包殷钢芯超耐热铝合金绞线。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color w:val="auto"/>
          <w:sz w:val="32"/>
          <w:szCs w:val="32"/>
          <w:highlight w:val="none"/>
          <w:lang w:val="en-US" w:eastAsia="zh-CN"/>
        </w:rPr>
      </w:pPr>
      <w:r>
        <w:rPr>
          <w:rFonts w:hint="eastAsia" w:ascii="仿宋_GB2312" w:hAnsi="仿宋_GB2312" w:eastAsia="仿宋_GB2312" w:cs="仿宋_GB2312"/>
          <w:b w:val="0"/>
          <w:color w:val="auto"/>
          <w:sz w:val="32"/>
          <w:szCs w:val="32"/>
          <w:highlight w:val="none"/>
          <w:lang w:val="en-US" w:eastAsia="zh-CN"/>
        </w:rPr>
        <w:t>3.架空、电缆土建</w:t>
      </w:r>
    </w:p>
    <w:p>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color w:val="auto"/>
          <w:sz w:val="32"/>
          <w:szCs w:val="32"/>
          <w:highlight w:val="none"/>
          <w:lang w:val="en-US" w:eastAsia="zh-CN"/>
        </w:rPr>
      </w:pPr>
      <w:r>
        <w:rPr>
          <w:rFonts w:hint="eastAsia" w:ascii="仿宋_GB2312" w:hAnsi="仿宋_GB2312" w:eastAsia="仿宋_GB2312" w:cs="仿宋_GB2312"/>
          <w:b w:val="0"/>
          <w:color w:val="auto"/>
          <w:sz w:val="32"/>
          <w:szCs w:val="32"/>
          <w:highlight w:val="none"/>
          <w:lang w:val="en-US" w:eastAsia="zh-CN"/>
        </w:rPr>
        <w:t>4.通信保护</w:t>
      </w:r>
    </w:p>
    <w:p>
      <w:pPr>
        <w:pStyle w:val="2"/>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本线路对邻近电信线路的电磁感应影响不超过容许值，无需采取特别防护措施。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color w:val="auto"/>
          <w:sz w:val="32"/>
          <w:szCs w:val="32"/>
          <w:highlight w:val="none"/>
          <w:lang w:val="en-US" w:eastAsia="zh-CN"/>
        </w:rPr>
      </w:pPr>
      <w:r>
        <w:rPr>
          <w:rFonts w:hint="eastAsia" w:ascii="仿宋_GB2312" w:hAnsi="仿宋_GB2312" w:eastAsia="仿宋_GB2312" w:cs="仿宋_GB2312"/>
          <w:b w:val="0"/>
          <w:color w:val="auto"/>
          <w:sz w:val="32"/>
          <w:szCs w:val="32"/>
          <w:highlight w:val="none"/>
          <w:lang w:val="en-US" w:eastAsia="zh-CN"/>
        </w:rPr>
        <w:t>5.气象和绝缘配置特性表</w:t>
      </w: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1"/>
        <w:gridCol w:w="855"/>
        <w:gridCol w:w="2225"/>
        <w:gridCol w:w="4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1"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序号</w:t>
            </w:r>
          </w:p>
        </w:tc>
        <w:tc>
          <w:tcPr>
            <w:tcW w:w="3080" w:type="dxa"/>
            <w:gridSpan w:val="2"/>
            <w:tcBorders>
              <w:tl2br w:val="single" w:color="000000" w:sz="4" w:space="0"/>
            </w:tcBorders>
            <w:noWrap w:val="0"/>
            <w:vAlign w:val="top"/>
          </w:tcPr>
          <w:p>
            <w:pPr>
              <w:pStyle w:val="15"/>
              <w:keepNext w:val="0"/>
              <w:keepLines w:val="0"/>
              <w:suppressLineNumbers w:val="0"/>
              <w:snapToGrid w:val="0"/>
              <w:spacing w:before="0" w:beforeAutospacing="0" w:after="0" w:afterAutospacing="0"/>
              <w:ind w:left="0" w:right="0"/>
              <w:jc w:val="righ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电压等级</w:t>
            </w:r>
          </w:p>
          <w:p>
            <w:pPr>
              <w:pStyle w:val="15"/>
              <w:keepNext w:val="0"/>
              <w:keepLines w:val="0"/>
              <w:suppressLineNumbers w:val="0"/>
              <w:snapToGrid w:val="0"/>
              <w:spacing w:before="0" w:beforeAutospacing="0" w:after="0" w:afterAutospacing="0"/>
              <w:ind w:left="0" w:right="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项目</w:t>
            </w:r>
          </w:p>
        </w:tc>
        <w:tc>
          <w:tcPr>
            <w:tcW w:w="4296"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lang w:val="en-US" w:eastAsia="zh-CN"/>
              </w:rPr>
              <w:t>11</w:t>
            </w:r>
            <w:r>
              <w:rPr>
                <w:rFonts w:hint="eastAsia" w:ascii="仿宋_GB2312" w:hAnsi="仿宋_GB2312" w:eastAsia="仿宋_GB2312" w:cs="仿宋_GB2312"/>
                <w:b w:val="0"/>
                <w:i w:val="0"/>
                <w:color w:val="auto"/>
                <w:sz w:val="28"/>
                <w:szCs w:val="28"/>
                <w:highlight w:val="none"/>
              </w:rPr>
              <w:t>0kV</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jc w:val="center"/>
        </w:trPr>
        <w:tc>
          <w:tcPr>
            <w:tcW w:w="421" w:type="dxa"/>
            <w:vMerge w:val="restart"/>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1</w:t>
            </w:r>
          </w:p>
        </w:tc>
        <w:tc>
          <w:tcPr>
            <w:tcW w:w="855" w:type="dxa"/>
            <w:vMerge w:val="restart"/>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气象条件</w:t>
            </w:r>
          </w:p>
        </w:tc>
        <w:tc>
          <w:tcPr>
            <w:tcW w:w="2225"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lang w:val="en-US" w:eastAsia="zh-CN" w:bidi="ar-SA"/>
              </w:rPr>
            </w:pPr>
            <w:r>
              <w:rPr>
                <w:rFonts w:hint="eastAsia" w:ascii="仿宋_GB2312" w:hAnsi="仿宋_GB2312" w:eastAsia="仿宋_GB2312" w:cs="仿宋_GB2312"/>
                <w:b w:val="0"/>
                <w:i w:val="0"/>
                <w:color w:val="auto"/>
                <w:sz w:val="28"/>
                <w:szCs w:val="28"/>
                <w:highlight w:val="none"/>
              </w:rPr>
              <w:t>基本风速</w:t>
            </w:r>
          </w:p>
        </w:tc>
        <w:tc>
          <w:tcPr>
            <w:tcW w:w="4296"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lang w:val="en-US" w:eastAsia="zh-CN" w:bidi="ar-SA"/>
              </w:rPr>
            </w:pPr>
            <w:r>
              <w:rPr>
                <w:rFonts w:hint="eastAsia" w:ascii="仿宋_GB2312" w:hAnsi="仿宋_GB2312" w:eastAsia="仿宋_GB2312" w:cs="仿宋_GB2312"/>
                <w:b w:val="0"/>
                <w:i w:val="0"/>
                <w:color w:val="auto"/>
                <w:sz w:val="28"/>
                <w:szCs w:val="28"/>
                <w:highlight w:val="none"/>
                <w:lang w:val="en-US" w:eastAsia="zh-CN"/>
              </w:rPr>
              <w:t>29</w:t>
            </w:r>
            <w:r>
              <w:rPr>
                <w:rFonts w:hint="eastAsia" w:ascii="仿宋_GB2312" w:hAnsi="仿宋_GB2312" w:eastAsia="仿宋_GB2312" w:cs="仿宋_GB2312"/>
                <w:b w:val="0"/>
                <w:i w:val="0"/>
                <w:color w:val="auto"/>
                <w:sz w:val="28"/>
                <w:szCs w:val="28"/>
                <w:highlight w:val="none"/>
              </w:rPr>
              <w:t>m/s</w:t>
            </w:r>
            <w:r>
              <w:rPr>
                <w:rFonts w:hint="eastAsia" w:ascii="仿宋_GB2312" w:hAnsi="仿宋_GB2312" w:eastAsia="仿宋_GB2312" w:cs="仿宋_GB2312"/>
                <w:b w:val="0"/>
                <w:i w:val="0"/>
                <w:color w:val="auto"/>
                <w:sz w:val="28"/>
                <w:szCs w:val="28"/>
                <w:highlight w:val="none"/>
                <w:lang w:val="en-US" w:eastAsia="zh-CN"/>
              </w:rPr>
              <w:t xml:space="preserve">   30年一遇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jc w:val="center"/>
        </w:trPr>
        <w:tc>
          <w:tcPr>
            <w:tcW w:w="421"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b w:val="0"/>
                <w:i w:val="0"/>
                <w:color w:val="auto"/>
                <w:sz w:val="28"/>
                <w:szCs w:val="28"/>
                <w:highlight w:val="none"/>
              </w:rPr>
            </w:pPr>
          </w:p>
        </w:tc>
        <w:tc>
          <w:tcPr>
            <w:tcW w:w="855"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b w:val="0"/>
                <w:i w:val="0"/>
                <w:color w:val="auto"/>
                <w:sz w:val="28"/>
                <w:szCs w:val="28"/>
                <w:highlight w:val="none"/>
              </w:rPr>
            </w:pPr>
          </w:p>
        </w:tc>
        <w:tc>
          <w:tcPr>
            <w:tcW w:w="2225"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lang w:val="en-US" w:eastAsia="zh-CN" w:bidi="ar-SA"/>
              </w:rPr>
            </w:pPr>
            <w:r>
              <w:rPr>
                <w:rFonts w:hint="eastAsia" w:ascii="仿宋_GB2312" w:hAnsi="仿宋_GB2312" w:eastAsia="仿宋_GB2312" w:cs="仿宋_GB2312"/>
                <w:b w:val="0"/>
                <w:i w:val="0"/>
                <w:color w:val="auto"/>
                <w:sz w:val="28"/>
                <w:szCs w:val="28"/>
                <w:highlight w:val="none"/>
              </w:rPr>
              <w:t>覆冰</w:t>
            </w:r>
          </w:p>
        </w:tc>
        <w:tc>
          <w:tcPr>
            <w:tcW w:w="4296"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lang w:val="en-US" w:eastAsia="zh-CN" w:bidi="ar-SA"/>
              </w:rPr>
            </w:pPr>
            <w:r>
              <w:rPr>
                <w:rFonts w:hint="eastAsia" w:ascii="仿宋_GB2312" w:hAnsi="仿宋_GB2312" w:eastAsia="仿宋_GB2312" w:cs="仿宋_GB2312"/>
                <w:b w:val="0"/>
                <w:i w:val="0"/>
                <w:color w:val="auto"/>
                <w:sz w:val="28"/>
                <w:szCs w:val="28"/>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jc w:val="center"/>
        </w:trPr>
        <w:tc>
          <w:tcPr>
            <w:tcW w:w="421"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b w:val="0"/>
                <w:i w:val="0"/>
                <w:color w:val="auto"/>
                <w:sz w:val="28"/>
                <w:szCs w:val="28"/>
                <w:highlight w:val="none"/>
              </w:rPr>
            </w:pPr>
          </w:p>
        </w:tc>
        <w:tc>
          <w:tcPr>
            <w:tcW w:w="855"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b w:val="0"/>
                <w:i w:val="0"/>
                <w:color w:val="auto"/>
                <w:sz w:val="28"/>
                <w:szCs w:val="28"/>
                <w:highlight w:val="none"/>
              </w:rPr>
            </w:pPr>
          </w:p>
        </w:tc>
        <w:tc>
          <w:tcPr>
            <w:tcW w:w="2225"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lang w:val="en-US" w:eastAsia="zh-CN" w:bidi="ar-SA"/>
              </w:rPr>
            </w:pPr>
            <w:r>
              <w:rPr>
                <w:rFonts w:hint="eastAsia" w:ascii="仿宋_GB2312" w:hAnsi="仿宋_GB2312" w:eastAsia="仿宋_GB2312" w:cs="仿宋_GB2312"/>
                <w:b w:val="0"/>
                <w:i w:val="0"/>
                <w:color w:val="auto"/>
                <w:sz w:val="28"/>
                <w:szCs w:val="28"/>
                <w:highlight w:val="none"/>
              </w:rPr>
              <w:t>最高环境温度</w:t>
            </w:r>
          </w:p>
        </w:tc>
        <w:tc>
          <w:tcPr>
            <w:tcW w:w="4296"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lang w:val="en-US" w:eastAsia="zh-CN" w:bidi="ar-SA"/>
              </w:rPr>
            </w:pPr>
            <w:r>
              <w:rPr>
                <w:rFonts w:hint="eastAsia" w:ascii="仿宋_GB2312" w:hAnsi="仿宋_GB2312" w:eastAsia="仿宋_GB2312" w:cs="仿宋_GB2312"/>
                <w:b w:val="0"/>
                <w:i w:val="0"/>
                <w:color w:val="auto"/>
                <w:sz w:val="28"/>
                <w:szCs w:val="28"/>
                <w:highlight w:val="none"/>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jc w:val="center"/>
        </w:trPr>
        <w:tc>
          <w:tcPr>
            <w:tcW w:w="421"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p>
        </w:tc>
        <w:tc>
          <w:tcPr>
            <w:tcW w:w="855"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p>
        </w:tc>
        <w:tc>
          <w:tcPr>
            <w:tcW w:w="2225"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最低环境温度</w:t>
            </w:r>
          </w:p>
        </w:tc>
        <w:tc>
          <w:tcPr>
            <w:tcW w:w="4296"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421"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p>
        </w:tc>
        <w:tc>
          <w:tcPr>
            <w:tcW w:w="855"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p>
        </w:tc>
        <w:tc>
          <w:tcPr>
            <w:tcW w:w="2225"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最高地温</w:t>
            </w:r>
          </w:p>
        </w:tc>
        <w:tc>
          <w:tcPr>
            <w:tcW w:w="4296"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421"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p>
        </w:tc>
        <w:tc>
          <w:tcPr>
            <w:tcW w:w="855"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p>
        </w:tc>
        <w:tc>
          <w:tcPr>
            <w:tcW w:w="2225"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平均地温</w:t>
            </w:r>
          </w:p>
        </w:tc>
        <w:tc>
          <w:tcPr>
            <w:tcW w:w="4296"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421"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p>
        </w:tc>
        <w:tc>
          <w:tcPr>
            <w:tcW w:w="855"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p>
        </w:tc>
        <w:tc>
          <w:tcPr>
            <w:tcW w:w="2225"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最大相对湿度</w:t>
            </w:r>
          </w:p>
        </w:tc>
        <w:tc>
          <w:tcPr>
            <w:tcW w:w="4296"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421"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p>
        </w:tc>
        <w:tc>
          <w:tcPr>
            <w:tcW w:w="855"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p>
        </w:tc>
        <w:tc>
          <w:tcPr>
            <w:tcW w:w="2225"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土壤热阻系数</w:t>
            </w:r>
          </w:p>
        </w:tc>
        <w:tc>
          <w:tcPr>
            <w:tcW w:w="4296"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1.2K.m/W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421" w:type="dxa"/>
            <w:vMerge w:val="restart"/>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2</w:t>
            </w:r>
          </w:p>
        </w:tc>
        <w:tc>
          <w:tcPr>
            <w:tcW w:w="855" w:type="dxa"/>
            <w:vMerge w:val="restart"/>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绝缘配置</w:t>
            </w:r>
          </w:p>
        </w:tc>
        <w:tc>
          <w:tcPr>
            <w:tcW w:w="2225"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污区</w:t>
            </w:r>
          </w:p>
        </w:tc>
        <w:tc>
          <w:tcPr>
            <w:tcW w:w="4296"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 xml:space="preserve"> </w:t>
            </w:r>
            <w:r>
              <w:rPr>
                <w:rFonts w:hint="eastAsia" w:ascii="仿宋_GB2312" w:hAnsi="仿宋_GB2312" w:eastAsia="仿宋_GB2312" w:cs="仿宋_GB2312"/>
                <w:b w:val="0"/>
                <w:i w:val="0"/>
                <w:color w:val="auto"/>
                <w:sz w:val="28"/>
                <w:szCs w:val="28"/>
                <w:highlight w:val="none"/>
                <w:lang w:val="en-US" w:eastAsia="zh-CN"/>
              </w:rPr>
              <w:t>e</w:t>
            </w:r>
            <w:r>
              <w:rPr>
                <w:rFonts w:hint="eastAsia" w:ascii="仿宋_GB2312" w:hAnsi="仿宋_GB2312" w:eastAsia="仿宋_GB2312" w:cs="仿宋_GB2312"/>
                <w:b w:val="0"/>
                <w:i w:val="0"/>
                <w:color w:val="auto"/>
                <w:sz w:val="28"/>
                <w:szCs w:val="28"/>
                <w:highlight w:val="none"/>
              </w:rPr>
              <w:t>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1"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p>
        </w:tc>
        <w:tc>
          <w:tcPr>
            <w:tcW w:w="855"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p>
        </w:tc>
        <w:tc>
          <w:tcPr>
            <w:tcW w:w="2225"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悬垂串</w:t>
            </w:r>
          </w:p>
        </w:tc>
        <w:tc>
          <w:tcPr>
            <w:tcW w:w="4296" w:type="dxa"/>
            <w:noWrap w:val="0"/>
            <w:vAlign w:val="center"/>
          </w:tcPr>
          <w:p>
            <w:pPr>
              <w:pStyle w:val="15"/>
              <w:keepNext w:val="0"/>
              <w:keepLines w:val="0"/>
              <w:suppressLineNumbers w:val="0"/>
              <w:snapToGrid w:val="0"/>
              <w:spacing w:before="0" w:beforeAutospacing="0" w:after="0" w:afterAutospacing="0"/>
              <w:ind w:left="0" w:right="0"/>
              <w:jc w:val="center"/>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1"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p>
        </w:tc>
        <w:tc>
          <w:tcPr>
            <w:tcW w:w="855"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p>
        </w:tc>
        <w:tc>
          <w:tcPr>
            <w:tcW w:w="2225"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跳线串</w:t>
            </w:r>
          </w:p>
        </w:tc>
        <w:tc>
          <w:tcPr>
            <w:tcW w:w="4296" w:type="dxa"/>
            <w:noWrap w:val="0"/>
            <w:vAlign w:val="center"/>
          </w:tcPr>
          <w:p>
            <w:pPr>
              <w:pStyle w:val="15"/>
              <w:snapToGrid w:val="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pacing w:val="-2"/>
                <w:sz w:val="28"/>
                <w:szCs w:val="28"/>
                <w:highlight w:val="none"/>
              </w:rPr>
              <w:t>双伞型玻璃绝缘子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1"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p>
        </w:tc>
        <w:tc>
          <w:tcPr>
            <w:tcW w:w="855" w:type="dxa"/>
            <w:vMerge w:val="continue"/>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p>
        </w:tc>
        <w:tc>
          <w:tcPr>
            <w:tcW w:w="2225" w:type="dxa"/>
            <w:noWrap w:val="0"/>
            <w:vAlign w:val="center"/>
          </w:tcPr>
          <w:p>
            <w:pPr>
              <w:pStyle w:val="15"/>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i w:val="0"/>
                <w:color w:val="auto"/>
                <w:sz w:val="28"/>
                <w:szCs w:val="28"/>
                <w:highlight w:val="none"/>
              </w:rPr>
              <w:t>耐张串</w:t>
            </w:r>
          </w:p>
        </w:tc>
        <w:tc>
          <w:tcPr>
            <w:tcW w:w="4296" w:type="dxa"/>
            <w:noWrap w:val="0"/>
            <w:vAlign w:val="center"/>
          </w:tcPr>
          <w:p>
            <w:pPr>
              <w:pStyle w:val="15"/>
              <w:snapToGrid w:val="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pacing w:val="-5"/>
                <w:sz w:val="28"/>
                <w:szCs w:val="28"/>
                <w:highlight w:val="none"/>
              </w:rPr>
              <w:t>双伞型玻璃绝缘子</w:t>
            </w:r>
          </w:p>
        </w:tc>
      </w:tr>
    </w:tbl>
    <w:p>
      <w:pPr>
        <w:pStyle w:val="2"/>
        <w:numPr>
          <w:ilvl w:val="0"/>
          <w:numId w:val="0"/>
        </w:numPr>
        <w:rPr>
          <w:rFonts w:hint="eastAsia"/>
          <w:color w:val="auto"/>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黑体" w:hAnsi="黑体" w:eastAsia="黑体" w:cs="Times New Roman"/>
          <w:b w:val="0"/>
          <w:bCs/>
          <w:i w:val="0"/>
          <w:color w:val="auto"/>
          <w:sz w:val="32"/>
          <w:szCs w:val="32"/>
          <w:highlight w:val="none"/>
        </w:rPr>
      </w:pPr>
      <w:r>
        <w:rPr>
          <w:rFonts w:hint="eastAsia" w:ascii="黑体" w:hAnsi="黑体" w:eastAsia="黑体" w:cs="Times New Roman"/>
          <w:b w:val="0"/>
          <w:bCs/>
          <w:i w:val="0"/>
          <w:color w:val="auto"/>
          <w:sz w:val="32"/>
          <w:szCs w:val="32"/>
          <w:highlight w:val="none"/>
          <w:lang w:eastAsia="zh-CN"/>
        </w:rPr>
        <w:t>七</w:t>
      </w:r>
      <w:r>
        <w:rPr>
          <w:rFonts w:hint="eastAsia" w:ascii="黑体" w:hAnsi="黑体" w:eastAsia="黑体" w:cs="Times New Roman"/>
          <w:b w:val="0"/>
          <w:bCs/>
          <w:i w:val="0"/>
          <w:color w:val="auto"/>
          <w:sz w:val="32"/>
          <w:szCs w:val="32"/>
          <w:highlight w:val="none"/>
        </w:rPr>
        <w:t>、“四节一环保”措施分析</w:t>
      </w:r>
    </w:p>
    <w:p>
      <w:pPr>
        <w:pStyle w:val="7"/>
        <w:pageBreakBefore w:val="0"/>
        <w:widowControl w:val="0"/>
        <w:numPr>
          <w:ilvl w:val="0"/>
          <w:numId w:val="0"/>
        </w:numPr>
        <w:kinsoku/>
        <w:wordWrap/>
        <w:overflowPunct/>
        <w:topLinePunct w:val="0"/>
        <w:autoSpaceDN/>
        <w:bidi w:val="0"/>
        <w:adjustRightInd w:val="0"/>
        <w:snapToGrid w:val="0"/>
        <w:spacing w:line="560" w:lineRule="exact"/>
        <w:ind w:left="630" w:leftChars="0"/>
        <w:jc w:val="both"/>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（一）节地</w:t>
      </w:r>
    </w:p>
    <w:p>
      <w:pPr>
        <w:pStyle w:val="15"/>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hAnsi="宋体"/>
          <w:color w:val="auto"/>
          <w:highlight w:val="none"/>
        </w:rPr>
      </w:pPr>
      <w:r>
        <w:rPr>
          <w:rFonts w:hint="eastAsia" w:ascii="仿宋_GB2312" w:hAnsi="仿宋_GB2312" w:eastAsia="仿宋_GB2312" w:cs="仿宋_GB2312"/>
          <w:color w:val="auto"/>
          <w:sz w:val="32"/>
          <w:szCs w:val="32"/>
          <w:highlight w:val="none"/>
          <w:lang w:val="en-US" w:eastAsia="zh-CN"/>
        </w:rPr>
        <w:t>本工程为</w:t>
      </w:r>
      <w:r>
        <w:rPr>
          <w:rFonts w:hint="eastAsia" w:ascii="仿宋_GB2312" w:hAnsi="仿宋_GB2312" w:eastAsia="仿宋_GB2312" w:cs="仿宋_GB2312"/>
          <w:color w:val="auto"/>
          <w:sz w:val="32"/>
          <w:szCs w:val="32"/>
          <w:highlight w:val="none"/>
        </w:rPr>
        <w:t>变电站</w:t>
      </w:r>
      <w:r>
        <w:rPr>
          <w:rFonts w:hint="eastAsia" w:ascii="仿宋_GB2312" w:hAnsi="仿宋_GB2312" w:eastAsia="仿宋_GB2312" w:cs="仿宋_GB2312"/>
          <w:color w:val="auto"/>
          <w:sz w:val="32"/>
          <w:szCs w:val="32"/>
          <w:highlight w:val="none"/>
          <w:lang w:val="en-US" w:eastAsia="zh-CN"/>
        </w:rPr>
        <w:t>主变扩建工程，在原站址上</w:t>
      </w:r>
      <w:r>
        <w:rPr>
          <w:rFonts w:hint="eastAsia" w:ascii="仿宋_GB2312" w:hAnsi="仿宋_GB2312" w:eastAsia="仿宋_GB2312" w:cs="仿宋_GB2312"/>
          <w:color w:val="auto"/>
          <w:sz w:val="32"/>
          <w:szCs w:val="32"/>
          <w:highlight w:val="none"/>
        </w:rPr>
        <w:t>布置</w:t>
      </w:r>
      <w:r>
        <w:rPr>
          <w:rFonts w:hint="eastAsia" w:ascii="仿宋_GB2312" w:hAnsi="仿宋_GB2312" w:eastAsia="仿宋_GB2312" w:cs="仿宋_GB2312"/>
          <w:color w:val="auto"/>
          <w:sz w:val="32"/>
          <w:szCs w:val="32"/>
          <w:highlight w:val="none"/>
          <w:lang w:val="en-US" w:eastAsia="zh-CN"/>
        </w:rPr>
        <w:t>电气设备</w:t>
      </w:r>
      <w:r>
        <w:rPr>
          <w:rFonts w:hint="eastAsia" w:ascii="仿宋_GB2312" w:hAnsi="仿宋_GB2312" w:eastAsia="仿宋_GB2312" w:cs="仿宋_GB2312"/>
          <w:color w:val="auto"/>
          <w:sz w:val="32"/>
          <w:szCs w:val="32"/>
          <w:highlight w:val="none"/>
        </w:rPr>
        <w:t>，总平面布置紧凑、合理。架空线路通过合理选择路径，合理确定杆塔回路数，选用合理的导线及杆塔型式，达到节地目的；电缆线路通过合理选择路径，合理布置电缆，达到节地目的。</w:t>
      </w:r>
    </w:p>
    <w:p>
      <w:pPr>
        <w:pStyle w:val="15"/>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（二）节能</w:t>
      </w:r>
    </w:p>
    <w:p>
      <w:pPr>
        <w:pStyle w:val="15"/>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系统节能分析：接入系统方案技术合理，经济性优良。合理选择主变容量与导线截面，满足负荷与电力输送要求。合理配置无功补偿，优化全网电能损耗。</w:t>
      </w:r>
    </w:p>
    <w:p>
      <w:pPr>
        <w:pStyle w:val="15"/>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送电节能措施：架空线路通过合理选择路径，从导线选型、绝缘等级及绝缘子选择、金具选择、杆塔与基础等各方面优化设计，达到节能目的。电缆线路通过合理选择路径，合理选择电缆型号、敷设方式等各方面优化设计，达到节能目的。</w:t>
      </w:r>
    </w:p>
    <w:p>
      <w:pPr>
        <w:pStyle w:val="7"/>
        <w:keepNext w:val="0"/>
        <w:keepLines w:val="0"/>
        <w:pageBreakBefore w:val="0"/>
        <w:widowControl w:val="0"/>
        <w:numPr>
          <w:ilvl w:val="0"/>
          <w:numId w:val="0"/>
        </w:numPr>
        <w:kinsoku/>
        <w:wordWrap/>
        <w:overflowPunct/>
        <w:topLinePunct w:val="0"/>
        <w:autoSpaceDN/>
        <w:bidi w:val="0"/>
        <w:adjustRightInd w:val="0"/>
        <w:snapToGrid w:val="0"/>
        <w:spacing w:line="560" w:lineRule="exact"/>
        <w:ind w:left="630" w:leftChars="0"/>
        <w:jc w:val="both"/>
        <w:rPr>
          <w:rFonts w:hint="eastAsia" w:ascii="Times New Roman" w:hAnsi="Times New Roman" w:eastAsia="楷体_GB2312" w:cs="Times New Roman"/>
          <w:color w:val="auto"/>
          <w:sz w:val="32"/>
          <w:highlight w:val="none"/>
        </w:rPr>
      </w:pPr>
      <w:r>
        <w:rPr>
          <w:rFonts w:hint="eastAsia" w:ascii="Times New Roman" w:hAnsi="Times New Roman" w:eastAsia="楷体_GB2312" w:cs="Times New Roman"/>
          <w:color w:val="auto"/>
          <w:sz w:val="32"/>
          <w:highlight w:val="none"/>
        </w:rPr>
        <w:t>（三）节水</w:t>
      </w:r>
    </w:p>
    <w:p>
      <w:pPr>
        <w:pStyle w:val="15"/>
        <w:keepNext w:val="0"/>
        <w:keepLines w:val="0"/>
        <w:pageBreakBefore w:val="0"/>
        <w:widowControl w:val="0"/>
        <w:kinsoku/>
        <w:wordWrap/>
        <w:overflowPunct/>
        <w:topLinePunct w:val="0"/>
        <w:bidi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本工程为主变扩建工程，变电站合理选用用水定额，采用节能节水设备；本工程送电线路不涉及节能</w:t>
      </w:r>
      <w:r>
        <w:rPr>
          <w:rFonts w:hint="eastAsia" w:ascii="仿宋_GB2312" w:hAnsi="仿宋_GB2312" w:eastAsia="仿宋_GB2312" w:cs="仿宋_GB2312"/>
          <w:color w:val="auto"/>
          <w:sz w:val="32"/>
          <w:szCs w:val="32"/>
          <w:highlight w:val="none"/>
        </w:rPr>
        <w:t>节水</w:t>
      </w:r>
      <w:r>
        <w:rPr>
          <w:rFonts w:hint="eastAsia" w:ascii="仿宋_GB2312" w:hAnsi="仿宋_GB2312" w:eastAsia="仿宋_GB2312" w:cs="仿宋_GB2312"/>
          <w:color w:val="auto"/>
          <w:sz w:val="32"/>
          <w:szCs w:val="32"/>
          <w:highlight w:val="none"/>
          <w:lang w:val="en-US" w:eastAsia="zh-CN"/>
        </w:rPr>
        <w:t>工作</w:t>
      </w:r>
      <w:r>
        <w:rPr>
          <w:rFonts w:hint="eastAsia" w:ascii="仿宋_GB2312" w:hAnsi="仿宋_GB2312" w:eastAsia="仿宋_GB2312" w:cs="仿宋_GB2312"/>
          <w:color w:val="auto"/>
          <w:sz w:val="32"/>
          <w:szCs w:val="32"/>
          <w:highlight w:val="none"/>
        </w:rPr>
        <w:t>。</w:t>
      </w:r>
    </w:p>
    <w:p>
      <w:pPr>
        <w:pStyle w:val="7"/>
        <w:keepNext w:val="0"/>
        <w:keepLines w:val="0"/>
        <w:pageBreakBefore w:val="0"/>
        <w:widowControl w:val="0"/>
        <w:numPr>
          <w:ilvl w:val="0"/>
          <w:numId w:val="0"/>
        </w:numPr>
        <w:kinsoku/>
        <w:wordWrap/>
        <w:overflowPunct/>
        <w:topLinePunct w:val="0"/>
        <w:autoSpaceDN/>
        <w:bidi w:val="0"/>
        <w:adjustRightInd w:val="0"/>
        <w:snapToGrid w:val="0"/>
        <w:spacing w:line="560" w:lineRule="exact"/>
        <w:ind w:left="630" w:leftChars="0"/>
        <w:jc w:val="both"/>
        <w:rPr>
          <w:rFonts w:hint="eastAsia" w:ascii="Times New Roman" w:hAnsi="Times New Roman" w:eastAsia="楷体_GB2312" w:cs="Times New Roman"/>
          <w:color w:val="auto"/>
          <w:sz w:val="32"/>
          <w:highlight w:val="none"/>
        </w:rPr>
      </w:pPr>
      <w:r>
        <w:rPr>
          <w:rFonts w:hint="eastAsia" w:ascii="Times New Roman" w:hAnsi="Times New Roman" w:eastAsia="楷体_GB2312" w:cs="Times New Roman"/>
          <w:color w:val="auto"/>
          <w:sz w:val="32"/>
          <w:highlight w:val="none"/>
        </w:rPr>
        <w:t>（四）节材</w:t>
      </w:r>
    </w:p>
    <w:p>
      <w:pPr>
        <w:pStyle w:val="15"/>
        <w:keepNext w:val="0"/>
        <w:keepLines w:val="0"/>
        <w:pageBreakBefore w:val="0"/>
        <w:widowControl w:val="0"/>
        <w:kinsoku/>
        <w:wordWrap/>
        <w:overflowPunct/>
        <w:topLinePunct w:val="0"/>
        <w:bidi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变电站合理安排电缆敷设路径，采用工业化建筑。架空送电线路通过合理的塔型规划设计、采用合理的结构型式和材质、合理的杆塔布置、合理的导地线选择及绝缘子串设计，达到节材目的。电缆线路通过合理的选择电缆截面及型式，合理的控制盘长及接头数量，达到节材目的。</w:t>
      </w:r>
    </w:p>
    <w:p>
      <w:pPr>
        <w:pStyle w:val="7"/>
        <w:keepNext w:val="0"/>
        <w:keepLines w:val="0"/>
        <w:pageBreakBefore w:val="0"/>
        <w:widowControl w:val="0"/>
        <w:numPr>
          <w:ilvl w:val="0"/>
          <w:numId w:val="0"/>
        </w:numPr>
        <w:kinsoku/>
        <w:wordWrap/>
        <w:overflowPunct/>
        <w:topLinePunct w:val="0"/>
        <w:autoSpaceDN/>
        <w:bidi w:val="0"/>
        <w:adjustRightInd w:val="0"/>
        <w:snapToGrid w:val="0"/>
        <w:spacing w:line="560" w:lineRule="exact"/>
        <w:ind w:left="630" w:leftChars="0"/>
        <w:jc w:val="both"/>
        <w:rPr>
          <w:rFonts w:hint="eastAsia" w:ascii="Times New Roman" w:hAnsi="Times New Roman" w:eastAsia="楷体_GB2312" w:cs="Times New Roman"/>
          <w:color w:val="auto"/>
          <w:sz w:val="32"/>
          <w:highlight w:val="none"/>
        </w:rPr>
      </w:pPr>
      <w:r>
        <w:rPr>
          <w:rFonts w:hint="eastAsia" w:ascii="Times New Roman" w:hAnsi="Times New Roman" w:eastAsia="楷体_GB2312" w:cs="Times New Roman"/>
          <w:color w:val="auto"/>
          <w:sz w:val="32"/>
          <w:highlight w:val="none"/>
        </w:rPr>
        <w:t>（五）环保</w:t>
      </w:r>
    </w:p>
    <w:p>
      <w:pPr>
        <w:pStyle w:val="15"/>
        <w:keepNext w:val="0"/>
        <w:keepLines w:val="0"/>
        <w:pageBreakBefore w:val="0"/>
        <w:widowControl w:val="0"/>
        <w:kinsoku/>
        <w:wordWrap/>
        <w:overflowPunct/>
        <w:topLinePunct w:val="0"/>
        <w:bidi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变电站采用低噪声设备；采取有效措施降低噪声及电磁辐射；建筑材料绿色环保，无光污染</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架空线路通过合理避让敏感点，合理地改善线路附近的电磁环境，达到环保目的。电缆线路通过采用无毒、无腐蚀的封堵材料，杜绝绝缘与护套中含有对人体有害物质，达到环保目的。</w:t>
      </w:r>
    </w:p>
    <w:p>
      <w:pPr>
        <w:pStyle w:val="7"/>
        <w:keepNext w:val="0"/>
        <w:keepLines w:val="0"/>
        <w:pageBreakBefore w:val="0"/>
        <w:widowControl w:val="0"/>
        <w:numPr>
          <w:ilvl w:val="0"/>
          <w:numId w:val="0"/>
        </w:numPr>
        <w:kinsoku/>
        <w:wordWrap/>
        <w:overflowPunct/>
        <w:topLinePunct w:val="0"/>
        <w:autoSpaceDN/>
        <w:bidi w:val="0"/>
        <w:adjustRightInd w:val="0"/>
        <w:snapToGrid w:val="0"/>
        <w:spacing w:line="560" w:lineRule="exact"/>
        <w:ind w:left="630" w:leftChars="0"/>
        <w:jc w:val="both"/>
        <w:rPr>
          <w:rFonts w:hint="eastAsia" w:ascii="Times New Roman" w:hAnsi="Times New Roman" w:eastAsia="楷体_GB2312" w:cs="Times New Roman"/>
          <w:color w:val="auto"/>
          <w:sz w:val="32"/>
          <w:highlight w:val="none"/>
        </w:rPr>
      </w:pPr>
      <w:r>
        <w:rPr>
          <w:rFonts w:hint="eastAsia" w:ascii="Times New Roman" w:hAnsi="Times New Roman" w:eastAsia="楷体_GB2312" w:cs="Times New Roman"/>
          <w:color w:val="auto"/>
          <w:sz w:val="32"/>
          <w:highlight w:val="none"/>
        </w:rPr>
        <w:t>（六）结论</w:t>
      </w:r>
    </w:p>
    <w:p>
      <w:pPr>
        <w:pStyle w:val="15"/>
        <w:keepNext w:val="0"/>
        <w:keepLines w:val="0"/>
        <w:pageBreakBefore w:val="0"/>
        <w:widowControl w:val="0"/>
        <w:kinsoku/>
        <w:wordWrap/>
        <w:overflowPunct/>
        <w:topLinePunct w:val="0"/>
        <w:bidi w:val="0"/>
        <w:spacing w:line="560" w:lineRule="exact"/>
        <w:ind w:firstLine="640" w:firstLineChars="200"/>
        <w:jc w:val="both"/>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sz w:val="32"/>
          <w:szCs w:val="32"/>
          <w:highlight w:val="none"/>
        </w:rPr>
        <w:t>本工程通过采取上述“四节一环保”措施，依靠科学技术降低消耗，合理利用资源，提高资源利用效率，切实保护生态环境。推广采用节地、节能、节水、节材、环保、降耗的先进技术设备和产品，有利于资源节约和综合利用，达到南方电网</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rPr>
        <w:t>级绿色电网项目标准。符合国家的产业政策，满足节能评估要求</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bidi w:val="0"/>
        <w:spacing w:line="560" w:lineRule="exact"/>
        <w:ind w:firstLine="640" w:firstLineChars="200"/>
        <w:textAlignment w:val="auto"/>
        <w:outlineLvl w:val="0"/>
        <w:rPr>
          <w:rFonts w:hint="eastAsia" w:ascii="宋体" w:hAnsi="宋体" w:cs="宋体"/>
          <w:b/>
          <w:color w:val="auto"/>
          <w:kern w:val="0"/>
          <w:sz w:val="24"/>
          <w:szCs w:val="24"/>
          <w:highlight w:val="none"/>
        </w:rPr>
      </w:pPr>
      <w:r>
        <w:rPr>
          <w:rFonts w:hint="eastAsia" w:ascii="黑体" w:hAnsi="黑体" w:eastAsia="黑体" w:cs="Times New Roman"/>
          <w:b w:val="0"/>
          <w:bCs/>
          <w:i w:val="0"/>
          <w:color w:val="auto"/>
          <w:sz w:val="32"/>
          <w:szCs w:val="32"/>
          <w:highlight w:val="none"/>
          <w:lang w:val="en-US" w:eastAsia="zh-CN"/>
        </w:rPr>
        <w:t>八</w:t>
      </w:r>
      <w:r>
        <w:rPr>
          <w:rFonts w:hint="eastAsia" w:ascii="黑体" w:hAnsi="黑体" w:eastAsia="黑体" w:cs="Times New Roman"/>
          <w:b w:val="0"/>
          <w:bCs/>
          <w:i w:val="0"/>
          <w:color w:val="auto"/>
          <w:sz w:val="32"/>
          <w:szCs w:val="32"/>
          <w:highlight w:val="none"/>
        </w:rPr>
        <w:t>、应用标准设计和典型造价情况说明</w:t>
      </w:r>
    </w:p>
    <w:p>
      <w:pPr>
        <w:pStyle w:val="15"/>
        <w:keepNext w:val="0"/>
        <w:keepLines w:val="0"/>
        <w:pageBreakBefore w:val="0"/>
        <w:widowControl w:val="0"/>
        <w:kinsoku/>
        <w:wordWrap/>
        <w:overflowPunct/>
        <w:topLinePunct w:val="0"/>
        <w:bidi w:val="0"/>
        <w:spacing w:line="560" w:lineRule="exact"/>
        <w:ind w:left="2" w:leftChars="1" w:firstLine="627" w:firstLineChars="196"/>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110kV太平站扩建第三台主变工程静态投资</w:t>
      </w:r>
      <w:r>
        <w:rPr>
          <w:rFonts w:hint="eastAsia" w:ascii="仿宋_GB2312" w:hAnsi="仿宋_GB2312" w:eastAsia="仿宋_GB2312" w:cs="仿宋_GB2312"/>
          <w:color w:val="auto"/>
          <w:sz w:val="32"/>
          <w:szCs w:val="32"/>
          <w:highlight w:val="none"/>
          <w:lang w:val="en-US" w:eastAsia="zh-CN"/>
        </w:rPr>
        <w:t>1863.18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由于</w:t>
      </w:r>
      <w:r>
        <w:rPr>
          <w:rFonts w:hint="eastAsia" w:ascii="仿宋_GB2312" w:hAnsi="仿宋_GB2312" w:eastAsia="仿宋_GB2312" w:cs="仿宋_GB2312"/>
          <w:sz w:val="32"/>
          <w:szCs w:val="32"/>
          <w:highlight w:val="none"/>
          <w:lang w:val="en-US" w:eastAsia="zh-CN"/>
        </w:rPr>
        <w:t>无对应的典型造价模块，不做对比分析</w:t>
      </w:r>
      <w:r>
        <w:rPr>
          <w:rFonts w:hint="eastAsia" w:ascii="仿宋_GB2312" w:hAnsi="仿宋_GB2312" w:eastAsia="仿宋_GB2312" w:cs="仿宋_GB2312"/>
          <w:color w:val="auto"/>
          <w:sz w:val="32"/>
          <w:szCs w:val="32"/>
          <w:highlight w:val="none"/>
        </w:rPr>
        <w:t>。</w:t>
      </w:r>
    </w:p>
    <w:p>
      <w:pPr>
        <w:pStyle w:val="15"/>
        <w:keepNext w:val="0"/>
        <w:keepLines w:val="0"/>
        <w:pageBreakBefore w:val="0"/>
        <w:widowControl w:val="0"/>
        <w:kinsoku/>
        <w:wordWrap/>
        <w:overflowPunct/>
        <w:topLinePunct w:val="0"/>
        <w:bidi w:val="0"/>
        <w:spacing w:line="560" w:lineRule="exact"/>
        <w:ind w:left="2" w:leftChars="1" w:firstLine="627" w:firstLineChars="196"/>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110kV太平站主接线改造电缆线路工程静态投资107.39万元，由于无对应的典型造价模块，不做对比分析</w:t>
      </w:r>
      <w:r>
        <w:rPr>
          <w:rFonts w:hint="eastAsia" w:ascii="仿宋_GB2312" w:hAnsi="仿宋_GB2312" w:eastAsia="仿宋_GB2312" w:cs="仿宋_GB2312"/>
          <w:sz w:val="32"/>
          <w:szCs w:val="32"/>
          <w:highlight w:val="none"/>
        </w:rPr>
        <w:t>。</w:t>
      </w:r>
    </w:p>
    <w:p>
      <w:pPr>
        <w:pStyle w:val="15"/>
        <w:keepNext w:val="0"/>
        <w:keepLines w:val="0"/>
        <w:pageBreakBefore w:val="0"/>
        <w:widowControl w:val="0"/>
        <w:kinsoku/>
        <w:wordWrap/>
        <w:overflowPunct/>
        <w:topLinePunct w:val="0"/>
        <w:bidi w:val="0"/>
        <w:spacing w:line="560" w:lineRule="exact"/>
        <w:ind w:firstLine="640" w:firstLineChars="200"/>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110kV汉太线导线增容改造工程静态投资44.28万元，由于线路路径长度少于10km，不做对比分析</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黑体" w:hAnsi="黑体" w:eastAsia="黑体" w:cs="Times New Roman"/>
          <w:b w:val="0"/>
          <w:bCs/>
          <w:i w:val="0"/>
          <w:color w:val="auto"/>
          <w:sz w:val="32"/>
          <w:szCs w:val="32"/>
          <w:highlight w:val="none"/>
        </w:rPr>
      </w:pPr>
      <w:r>
        <w:rPr>
          <w:rFonts w:hint="eastAsia" w:ascii="黑体" w:hAnsi="黑体" w:eastAsia="黑体" w:cs="Times New Roman"/>
          <w:b w:val="0"/>
          <w:bCs/>
          <w:i w:val="0"/>
          <w:color w:val="auto"/>
          <w:sz w:val="32"/>
          <w:szCs w:val="32"/>
          <w:highlight w:val="none"/>
          <w:lang w:val="en-US" w:eastAsia="zh-CN"/>
        </w:rPr>
        <w:t>九</w:t>
      </w:r>
      <w:r>
        <w:rPr>
          <w:rFonts w:hint="eastAsia" w:ascii="黑体" w:hAnsi="黑体" w:eastAsia="黑体" w:cs="Times New Roman"/>
          <w:b w:val="0"/>
          <w:bCs/>
          <w:i w:val="0"/>
          <w:color w:val="auto"/>
          <w:sz w:val="32"/>
          <w:szCs w:val="32"/>
          <w:highlight w:val="none"/>
        </w:rPr>
        <w:t>、投资估算部分</w:t>
      </w:r>
    </w:p>
    <w:p>
      <w:pPr>
        <w:pStyle w:val="15"/>
        <w:keepNext w:val="0"/>
        <w:keepLines w:val="0"/>
        <w:pageBreakBefore w:val="0"/>
        <w:widowControl w:val="0"/>
        <w:kinsoku/>
        <w:wordWrap/>
        <w:overflowPunct/>
        <w:topLinePunct w:val="0"/>
        <w:bidi w:val="0"/>
        <w:spacing w:line="560" w:lineRule="exact"/>
        <w:ind w:left="2" w:leftChars="1" w:firstLine="627" w:firstLineChars="196"/>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本工程核定静态投资估算为</w:t>
      </w:r>
      <w:r>
        <w:rPr>
          <w:rFonts w:hint="eastAsia" w:ascii="仿宋_GB2312" w:hAnsi="仿宋_GB2312" w:eastAsia="仿宋_GB2312" w:cs="仿宋_GB2312"/>
          <w:color w:val="auto"/>
          <w:sz w:val="32"/>
          <w:szCs w:val="32"/>
          <w:highlight w:val="none"/>
          <w:lang w:val="en-US" w:eastAsia="zh-CN"/>
        </w:rPr>
        <w:t>2022.24</w:t>
      </w:r>
      <w:r>
        <w:rPr>
          <w:rFonts w:hint="eastAsia" w:ascii="仿宋_GB2312" w:hAnsi="仿宋_GB2312" w:eastAsia="仿宋_GB2312" w:cs="仿宋_GB2312"/>
          <w:color w:val="auto"/>
          <w:sz w:val="32"/>
          <w:szCs w:val="32"/>
          <w:highlight w:val="none"/>
        </w:rPr>
        <w:t>万元(基本预备费</w:t>
      </w:r>
      <w:r>
        <w:rPr>
          <w:rFonts w:hint="eastAsia" w:ascii="仿宋_GB2312" w:hAnsi="仿宋_GB2312" w:eastAsia="仿宋_GB2312" w:cs="仿宋_GB2312"/>
          <w:color w:val="auto"/>
          <w:sz w:val="32"/>
          <w:szCs w:val="32"/>
          <w:highlight w:val="none"/>
          <w:lang w:val="en-US" w:eastAsia="zh-CN"/>
        </w:rPr>
        <w:t>39.38</w:t>
      </w:r>
      <w:r>
        <w:rPr>
          <w:rFonts w:hint="eastAsia" w:ascii="仿宋_GB2312" w:hAnsi="仿宋_GB2312" w:eastAsia="仿宋_GB2312" w:cs="仿宋_GB2312"/>
          <w:color w:val="auto"/>
          <w:sz w:val="32"/>
          <w:szCs w:val="32"/>
          <w:highlight w:val="none"/>
        </w:rPr>
        <w:t>万元，场地征用及清理费</w:t>
      </w:r>
      <w:r>
        <w:rPr>
          <w:rFonts w:hint="eastAsia" w:ascii="仿宋_GB2312" w:hAnsi="仿宋_GB2312" w:eastAsia="仿宋_GB2312" w:cs="仿宋_GB2312"/>
          <w:color w:val="auto"/>
          <w:sz w:val="32"/>
          <w:szCs w:val="32"/>
          <w:highlight w:val="none"/>
          <w:lang w:val="en-US" w:eastAsia="zh-CN"/>
        </w:rPr>
        <w:t>25.16</w:t>
      </w:r>
      <w:r>
        <w:rPr>
          <w:rFonts w:hint="eastAsia" w:ascii="仿宋_GB2312" w:hAnsi="仿宋_GB2312" w:eastAsia="仿宋_GB2312" w:cs="仿宋_GB2312"/>
          <w:color w:val="auto"/>
          <w:sz w:val="32"/>
          <w:szCs w:val="32"/>
          <w:highlight w:val="none"/>
        </w:rPr>
        <w:t>万元)，具体各项工程投资估算如下：</w:t>
      </w:r>
    </w:p>
    <w:p>
      <w:pPr>
        <w:pStyle w:val="15"/>
        <w:keepNext w:val="0"/>
        <w:keepLines w:val="0"/>
        <w:pageBreakBefore w:val="0"/>
        <w:widowControl w:val="0"/>
        <w:numPr>
          <w:ilvl w:val="0"/>
          <w:numId w:val="3"/>
        </w:numPr>
        <w:kinsoku/>
        <w:wordWrap/>
        <w:overflowPunct/>
        <w:topLinePunct w:val="0"/>
        <w:bidi w:val="0"/>
        <w:spacing w:line="560" w:lineRule="exact"/>
        <w:ind w:left="2" w:leftChars="1" w:firstLine="627" w:firstLineChars="196"/>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变电工程静态投资</w:t>
      </w:r>
      <w:r>
        <w:rPr>
          <w:rFonts w:hint="eastAsia" w:ascii="仿宋_GB2312" w:hAnsi="仿宋_GB2312" w:eastAsia="仿宋_GB2312" w:cs="仿宋_GB2312"/>
          <w:color w:val="auto"/>
          <w:sz w:val="32"/>
          <w:szCs w:val="32"/>
          <w:highlight w:val="none"/>
          <w:lang w:val="en-US" w:eastAsia="zh-CN"/>
        </w:rPr>
        <w:t>1863.18</w:t>
      </w:r>
      <w:r>
        <w:rPr>
          <w:rFonts w:hint="eastAsia" w:ascii="仿宋_GB2312" w:hAnsi="仿宋_GB2312" w:eastAsia="仿宋_GB2312" w:cs="仿宋_GB2312"/>
          <w:color w:val="auto"/>
          <w:sz w:val="32"/>
          <w:szCs w:val="32"/>
          <w:highlight w:val="none"/>
        </w:rPr>
        <w:t>万元，其中场地征用及清理费</w:t>
      </w:r>
      <w:r>
        <w:rPr>
          <w:rFonts w:hint="eastAsia" w:ascii="仿宋_GB2312" w:hAnsi="仿宋_GB2312" w:eastAsia="仿宋_GB2312" w:cs="仿宋_GB2312"/>
          <w:color w:val="auto"/>
          <w:sz w:val="32"/>
          <w:szCs w:val="32"/>
          <w:highlight w:val="none"/>
          <w:lang w:val="en-US" w:eastAsia="zh-CN"/>
        </w:rPr>
        <w:t>21.44</w:t>
      </w:r>
      <w:r>
        <w:rPr>
          <w:rFonts w:hint="eastAsia" w:ascii="仿宋_GB2312" w:hAnsi="仿宋_GB2312" w:eastAsia="仿宋_GB2312" w:cs="仿宋_GB2312"/>
          <w:color w:val="auto"/>
          <w:sz w:val="32"/>
          <w:szCs w:val="32"/>
          <w:highlight w:val="none"/>
        </w:rPr>
        <w:t>万元；</w:t>
      </w:r>
    </w:p>
    <w:p>
      <w:pPr>
        <w:pStyle w:val="15"/>
        <w:keepNext w:val="0"/>
        <w:keepLines w:val="0"/>
        <w:pageBreakBefore w:val="0"/>
        <w:widowControl w:val="0"/>
        <w:numPr>
          <w:ilvl w:val="0"/>
          <w:numId w:val="3"/>
        </w:numPr>
        <w:kinsoku/>
        <w:wordWrap/>
        <w:overflowPunct/>
        <w:topLinePunct w:val="0"/>
        <w:bidi w:val="0"/>
        <w:spacing w:line="560" w:lineRule="exact"/>
        <w:ind w:left="2" w:leftChars="1" w:firstLine="627" w:firstLineChars="196"/>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线路工程</w:t>
      </w:r>
      <w:r>
        <w:rPr>
          <w:rFonts w:hint="eastAsia" w:ascii="仿宋_GB2312" w:hAnsi="仿宋_GB2312" w:eastAsia="仿宋_GB2312" w:cs="仿宋_GB2312"/>
          <w:color w:val="auto"/>
          <w:sz w:val="32"/>
          <w:szCs w:val="32"/>
          <w:highlight w:val="none"/>
        </w:rPr>
        <w:t>静态投资</w:t>
      </w:r>
      <w:r>
        <w:rPr>
          <w:rFonts w:hint="eastAsia" w:ascii="仿宋_GB2312" w:hAnsi="仿宋_GB2312" w:eastAsia="仿宋_GB2312" w:cs="仿宋_GB2312"/>
          <w:color w:val="auto"/>
          <w:sz w:val="32"/>
          <w:szCs w:val="32"/>
          <w:highlight w:val="none"/>
          <w:lang w:val="en-US" w:eastAsia="zh-CN"/>
        </w:rPr>
        <w:t>151.67</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其中场地征用及清理费</w:t>
      </w:r>
      <w:r>
        <w:rPr>
          <w:rFonts w:hint="eastAsia" w:ascii="仿宋_GB2312" w:hAnsi="仿宋_GB2312" w:eastAsia="仿宋_GB2312" w:cs="仿宋_GB2312"/>
          <w:color w:val="auto"/>
          <w:sz w:val="32"/>
          <w:szCs w:val="32"/>
          <w:highlight w:val="none"/>
          <w:lang w:val="en-US" w:eastAsia="zh-CN"/>
        </w:rPr>
        <w:t>3.72</w:t>
      </w:r>
      <w:r>
        <w:rPr>
          <w:rFonts w:hint="eastAsia" w:ascii="仿宋_GB2312" w:hAnsi="仿宋_GB2312" w:eastAsia="仿宋_GB2312" w:cs="仿宋_GB2312"/>
          <w:color w:val="auto"/>
          <w:sz w:val="32"/>
          <w:szCs w:val="32"/>
          <w:highlight w:val="none"/>
        </w:rPr>
        <w:t>万元；</w:t>
      </w:r>
    </w:p>
    <w:p>
      <w:pPr>
        <w:pStyle w:val="15"/>
        <w:keepNext w:val="0"/>
        <w:keepLines w:val="0"/>
        <w:pageBreakBefore w:val="0"/>
        <w:widowControl w:val="0"/>
        <w:numPr>
          <w:ilvl w:val="0"/>
          <w:numId w:val="3"/>
        </w:numPr>
        <w:kinsoku/>
        <w:wordWrap/>
        <w:overflowPunct/>
        <w:topLinePunct w:val="0"/>
        <w:bidi w:val="0"/>
        <w:spacing w:line="560" w:lineRule="exact"/>
        <w:ind w:left="2" w:leftChars="1" w:firstLine="627" w:firstLineChars="196"/>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通信工程</w:t>
      </w:r>
      <w:r>
        <w:rPr>
          <w:rFonts w:hint="eastAsia" w:ascii="仿宋_GB2312" w:hAnsi="仿宋_GB2312" w:eastAsia="仿宋_GB2312" w:cs="仿宋_GB2312"/>
          <w:color w:val="auto"/>
          <w:sz w:val="32"/>
          <w:szCs w:val="32"/>
          <w:highlight w:val="none"/>
        </w:rPr>
        <w:t>静态投资</w:t>
      </w:r>
      <w:r>
        <w:rPr>
          <w:rFonts w:hint="eastAsia" w:ascii="仿宋_GB2312" w:hAnsi="仿宋_GB2312" w:eastAsia="仿宋_GB2312" w:cs="仿宋_GB2312"/>
          <w:color w:val="auto"/>
          <w:sz w:val="32"/>
          <w:szCs w:val="32"/>
          <w:highlight w:val="none"/>
          <w:lang w:val="en-US" w:eastAsia="zh-CN"/>
        </w:rPr>
        <w:t>7.39</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p>
    <w:p>
      <w:pPr>
        <w:pStyle w:val="15"/>
        <w:keepNext w:val="0"/>
        <w:keepLines w:val="0"/>
        <w:pageBreakBefore w:val="0"/>
        <w:widowControl w:val="0"/>
        <w:kinsoku/>
        <w:wordWrap/>
        <w:overflowPunct/>
        <w:topLinePunct w:val="0"/>
        <w:bidi w:val="0"/>
        <w:spacing w:line="560" w:lineRule="exact"/>
        <w:ind w:left="2" w:leftChars="1" w:firstLine="627" w:firstLineChars="196"/>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本项目动态投资</w:t>
      </w:r>
      <w:r>
        <w:rPr>
          <w:rFonts w:hint="eastAsia" w:ascii="仿宋_GB2312" w:hAnsi="仿宋_GB2312" w:eastAsia="仿宋_GB2312" w:cs="仿宋_GB2312"/>
          <w:color w:val="auto"/>
          <w:sz w:val="32"/>
          <w:szCs w:val="32"/>
          <w:highlight w:val="none"/>
          <w:lang w:val="en-US" w:eastAsia="zh-CN"/>
        </w:rPr>
        <w:t>2041.22</w:t>
      </w:r>
      <w:r>
        <w:rPr>
          <w:rFonts w:hint="eastAsia" w:ascii="仿宋_GB2312" w:hAnsi="仿宋_GB2312" w:eastAsia="仿宋_GB2312" w:cs="仿宋_GB2312"/>
          <w:color w:val="auto"/>
          <w:sz w:val="32"/>
          <w:szCs w:val="32"/>
          <w:highlight w:val="none"/>
        </w:rPr>
        <w:t>万元。设计</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送审静态投资估算为</w:t>
      </w:r>
      <w:r>
        <w:rPr>
          <w:rFonts w:hint="eastAsia" w:ascii="仿宋_GB2312" w:hAnsi="仿宋_GB2312" w:eastAsia="仿宋_GB2312" w:cs="仿宋_GB2312"/>
          <w:color w:val="auto"/>
          <w:sz w:val="32"/>
          <w:szCs w:val="32"/>
          <w:highlight w:val="none"/>
          <w:lang w:val="en-US" w:eastAsia="zh-CN"/>
        </w:rPr>
        <w:t>1999.91</w:t>
      </w:r>
      <w:r>
        <w:rPr>
          <w:rFonts w:hint="eastAsia" w:ascii="仿宋_GB2312" w:hAnsi="仿宋_GB2312" w:eastAsia="仿宋_GB2312" w:cs="仿宋_GB2312"/>
          <w:color w:val="auto"/>
          <w:sz w:val="32"/>
          <w:szCs w:val="32"/>
          <w:highlight w:val="none"/>
        </w:rPr>
        <w:t>万元，动态投资估算为</w:t>
      </w:r>
      <w:r>
        <w:rPr>
          <w:rFonts w:hint="eastAsia" w:ascii="仿宋_GB2312" w:hAnsi="仿宋_GB2312" w:eastAsia="仿宋_GB2312" w:cs="仿宋_GB2312"/>
          <w:color w:val="auto"/>
          <w:sz w:val="32"/>
          <w:szCs w:val="32"/>
          <w:highlight w:val="none"/>
          <w:lang w:val="en-US" w:eastAsia="zh-CN"/>
        </w:rPr>
        <w:t>2018.73</w:t>
      </w:r>
      <w:r>
        <w:rPr>
          <w:rFonts w:hint="eastAsia" w:ascii="仿宋_GB2312" w:hAnsi="仿宋_GB2312" w:eastAsia="仿宋_GB2312" w:cs="仿宋_GB2312"/>
          <w:color w:val="auto"/>
          <w:sz w:val="32"/>
          <w:szCs w:val="32"/>
          <w:highlight w:val="none"/>
        </w:rPr>
        <w:t>万元，经评审共核</w:t>
      </w:r>
      <w:r>
        <w:rPr>
          <w:rFonts w:hint="eastAsia" w:ascii="仿宋_GB2312" w:hAnsi="仿宋_GB2312" w:eastAsia="仿宋_GB2312" w:cs="仿宋_GB2312"/>
          <w:color w:val="auto"/>
          <w:sz w:val="32"/>
          <w:szCs w:val="32"/>
          <w:highlight w:val="none"/>
          <w:lang w:val="en-US" w:eastAsia="zh-CN"/>
        </w:rPr>
        <w:t>增</w:t>
      </w:r>
      <w:r>
        <w:rPr>
          <w:rFonts w:hint="eastAsia" w:ascii="仿宋_GB2312" w:hAnsi="仿宋_GB2312" w:eastAsia="仿宋_GB2312" w:cs="仿宋_GB2312"/>
          <w:color w:val="auto"/>
          <w:sz w:val="32"/>
          <w:szCs w:val="32"/>
          <w:highlight w:val="none"/>
        </w:rPr>
        <w:t>动态投资</w:t>
      </w:r>
      <w:r>
        <w:rPr>
          <w:rFonts w:hint="eastAsia" w:ascii="仿宋_GB2312" w:hAnsi="仿宋_GB2312" w:eastAsia="仿宋_GB2312" w:cs="仿宋_GB2312"/>
          <w:color w:val="auto"/>
          <w:sz w:val="32"/>
          <w:szCs w:val="32"/>
          <w:highlight w:val="none"/>
          <w:lang w:val="en-US" w:eastAsia="zh-CN"/>
        </w:rPr>
        <w:t>22.49</w:t>
      </w:r>
      <w:r>
        <w:rPr>
          <w:rFonts w:hint="eastAsia" w:ascii="仿宋_GB2312" w:hAnsi="仿宋_GB2312" w:eastAsia="仿宋_GB2312" w:cs="仿宋_GB2312"/>
          <w:color w:val="auto"/>
          <w:sz w:val="32"/>
          <w:szCs w:val="32"/>
          <w:highlight w:val="none"/>
        </w:rPr>
        <w:t>万元，核</w:t>
      </w:r>
      <w:r>
        <w:rPr>
          <w:rFonts w:hint="eastAsia" w:ascii="仿宋_GB2312" w:hAnsi="仿宋_GB2312" w:eastAsia="仿宋_GB2312" w:cs="仿宋_GB2312"/>
          <w:color w:val="auto"/>
          <w:sz w:val="32"/>
          <w:szCs w:val="32"/>
          <w:highlight w:val="none"/>
          <w:lang w:val="en-US" w:eastAsia="zh-CN"/>
        </w:rPr>
        <w:t>增</w:t>
      </w:r>
      <w:r>
        <w:rPr>
          <w:rFonts w:hint="eastAsia" w:ascii="仿宋_GB2312" w:hAnsi="仿宋_GB2312" w:eastAsia="仿宋_GB2312" w:cs="仿宋_GB2312"/>
          <w:color w:val="auto"/>
          <w:sz w:val="32"/>
          <w:szCs w:val="32"/>
          <w:highlight w:val="none"/>
        </w:rPr>
        <w:t>幅度</w:t>
      </w:r>
      <w:r>
        <w:rPr>
          <w:rFonts w:hint="eastAsia" w:ascii="仿宋_GB2312" w:hAnsi="仿宋_GB2312" w:eastAsia="仿宋_GB2312" w:cs="仿宋_GB2312"/>
          <w:color w:val="auto"/>
          <w:sz w:val="32"/>
          <w:szCs w:val="32"/>
          <w:highlight w:val="none"/>
          <w:lang w:val="en-US" w:eastAsia="zh-CN"/>
        </w:rPr>
        <w:t>1.11</w:t>
      </w:r>
      <w:r>
        <w:rPr>
          <w:rFonts w:hint="eastAsia" w:ascii="仿宋_GB2312" w:hAnsi="仿宋_GB2312" w:eastAsia="仿宋_GB2312" w:cs="仿宋_GB2312"/>
          <w:color w:val="auto"/>
          <w:sz w:val="32"/>
          <w:szCs w:val="32"/>
          <w:highlight w:val="none"/>
        </w:rPr>
        <w:t>%。</w:t>
      </w:r>
    </w:p>
    <w:p>
      <w:pPr>
        <w:pStyle w:val="15"/>
        <w:keepNext w:val="0"/>
        <w:keepLines w:val="0"/>
        <w:pageBreakBefore w:val="0"/>
        <w:widowControl w:val="0"/>
        <w:kinsoku/>
        <w:wordWrap/>
        <w:overflowPunct/>
        <w:topLinePunct w:val="0"/>
        <w:bidi w:val="0"/>
        <w:spacing w:line="560" w:lineRule="exact"/>
        <w:ind w:left="2" w:leftChars="1" w:firstLine="627" w:firstLineChars="196"/>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投资估算汇总表、单项工程汇总表及投资对比表见附表</w:t>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～附表</w:t>
      </w:r>
      <w:r>
        <w:rPr>
          <w:rFonts w:hint="eastAsia" w:ascii="仿宋_GB2312" w:hAnsi="仿宋_GB2312" w:eastAsia="仿宋_GB2312" w:cs="仿宋_GB2312"/>
          <w:sz w:val="32"/>
          <w:szCs w:val="32"/>
          <w:highlight w:val="none"/>
          <w:lang w:eastAsia="zh-CN"/>
        </w:rPr>
        <w:t>三</w:t>
      </w:r>
      <w:r>
        <w:rPr>
          <w:rFonts w:hint="eastAsia" w:ascii="仿宋_GB2312" w:hAnsi="仿宋_GB2312" w:eastAsia="仿宋_GB2312" w:cs="仿宋_GB2312"/>
          <w:sz w:val="32"/>
          <w:szCs w:val="32"/>
          <w:highlight w:val="none"/>
        </w:rPr>
        <w:t>：</w:t>
      </w:r>
    </w:p>
    <w:p>
      <w:pPr>
        <w:pStyle w:val="7"/>
        <w:pageBreakBefore w:val="0"/>
        <w:widowControl w:val="0"/>
        <w:numPr>
          <w:ilvl w:val="0"/>
          <w:numId w:val="0"/>
        </w:numPr>
        <w:kinsoku/>
        <w:wordWrap/>
        <w:overflowPunct/>
        <w:topLinePunct w:val="0"/>
        <w:autoSpaceDN/>
        <w:bidi w:val="0"/>
        <w:adjustRightInd w:val="0"/>
        <w:snapToGrid w:val="0"/>
        <w:spacing w:line="560" w:lineRule="exact"/>
        <w:ind w:left="630" w:leftChars="0"/>
        <w:jc w:val="both"/>
        <w:rPr>
          <w:rFonts w:hint="eastAsia" w:ascii="楷体_GB2312" w:hAnsi="楷体_GB2312" w:eastAsia="楷体_GB2312" w:cs="Times New Roman"/>
          <w:color w:val="auto"/>
          <w:sz w:val="32"/>
          <w:szCs w:val="32"/>
          <w:highlight w:val="none"/>
          <w:lang w:val="en-US" w:eastAsia="zh-CN"/>
        </w:rPr>
      </w:pPr>
    </w:p>
    <w:p>
      <w:pPr>
        <w:widowControl/>
        <w:jc w:val="left"/>
        <w:rPr>
          <w:rFonts w:hint="eastAsia" w:ascii="黑体" w:hAnsi="黑体" w:eastAsia="黑体" w:cs="黑体"/>
          <w:color w:val="auto"/>
          <w:sz w:val="28"/>
          <w:szCs w:val="28"/>
          <w:highlight w:val="none"/>
        </w:rPr>
        <w:sectPr>
          <w:footerReference r:id="rId3" w:type="default"/>
          <w:pgSz w:w="11906" w:h="16838"/>
          <w:pgMar w:top="1440" w:right="1800" w:bottom="1440" w:left="1800" w:header="851" w:footer="992" w:gutter="0"/>
          <w:cols w:space="425" w:num="1"/>
          <w:docGrid w:type="lines" w:linePitch="312" w:charSpace="0"/>
        </w:sectPr>
      </w:pPr>
    </w:p>
    <w:p>
      <w:pPr>
        <w:pStyle w:val="7"/>
        <w:pageBreakBefore w:val="0"/>
        <w:widowControl w:val="0"/>
        <w:numPr>
          <w:ilvl w:val="0"/>
          <w:numId w:val="0"/>
        </w:numPr>
        <w:kinsoku/>
        <w:wordWrap/>
        <w:overflowPunct/>
        <w:topLinePunct w:val="0"/>
        <w:bidi w:val="0"/>
        <w:adjustRightInd w:val="0"/>
        <w:spacing w:line="560" w:lineRule="exact"/>
        <w:jc w:val="both"/>
        <w:textAlignment w:val="baseline"/>
        <w:rPr>
          <w:rFonts w:hint="eastAsia" w:ascii="楷体_GB2312" w:hAnsi="楷体_GB2312" w:eastAsia="楷体_GB2312" w:cs="Times New Roman"/>
          <w:color w:val="auto"/>
          <w:sz w:val="32"/>
          <w:highlight w:val="none"/>
          <w:lang w:val="en-US" w:eastAsia="zh-CN"/>
        </w:rPr>
      </w:pPr>
      <w:bookmarkStart w:id="0" w:name="_GoBack"/>
      <w:bookmarkEnd w:id="0"/>
    </w:p>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outside" w:y="1"/>
      <w:rPr>
        <w:rStyle w:val="14"/>
        <w:rFonts w:ascii="宋体"/>
        <w:sz w:val="28"/>
      </w:rPr>
    </w:pPr>
    <w:r>
      <w:rPr>
        <w:rStyle w:val="14"/>
        <w:rFonts w:hint="eastAsia" w:ascii="宋体"/>
        <w:sz w:val="28"/>
      </w:rPr>
      <w:t xml:space="preserve"> —</w:t>
    </w:r>
    <w:r>
      <w:rPr>
        <w:rFonts w:ascii="宋体"/>
        <w:sz w:val="28"/>
      </w:rPr>
      <w:fldChar w:fldCharType="begin"/>
    </w:r>
    <w:r>
      <w:rPr>
        <w:rStyle w:val="14"/>
        <w:rFonts w:ascii="宋体"/>
        <w:sz w:val="28"/>
      </w:rPr>
      <w:instrText xml:space="preserve">PAGE  </w:instrText>
    </w:r>
    <w:r>
      <w:rPr>
        <w:rFonts w:ascii="宋体"/>
        <w:sz w:val="28"/>
      </w:rPr>
      <w:fldChar w:fldCharType="separate"/>
    </w:r>
    <w:r>
      <w:rPr>
        <w:rStyle w:val="14"/>
        <w:rFonts w:ascii="宋体"/>
        <w:sz w:val="28"/>
      </w:rPr>
      <w:t>2</w:t>
    </w:r>
    <w:r>
      <w:rPr>
        <w:rFonts w:ascii="宋体"/>
        <w:sz w:val="28"/>
      </w:rPr>
      <w:fldChar w:fldCharType="end"/>
    </w:r>
    <w:r>
      <w:rPr>
        <w:rStyle w:val="14"/>
        <w:rFonts w:hint="eastAsia" w:ascii="宋体"/>
        <w:sz w:val="28"/>
      </w:rPr>
      <w:t>—</w:t>
    </w:r>
    <w:r>
      <w:rPr>
        <w:rStyle w:val="14"/>
        <w:rFonts w:hint="eastAsia" w:ascii="宋体"/>
        <w:color w:val="FFFFFF"/>
        <w:sz w:val="28"/>
      </w:rPr>
      <w:t>—</w:t>
    </w:r>
  </w:p>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7D4AD1"/>
    <w:multiLevelType w:val="singleLevel"/>
    <w:tmpl w:val="267D4AD1"/>
    <w:lvl w:ilvl="0" w:tentative="0">
      <w:start w:val="6"/>
      <w:numFmt w:val="chineseCounting"/>
      <w:suff w:val="nothing"/>
      <w:lvlText w:val="%1、"/>
      <w:lvlJc w:val="left"/>
      <w:rPr>
        <w:rFonts w:hint="eastAsia"/>
      </w:rPr>
    </w:lvl>
  </w:abstractNum>
  <w:abstractNum w:abstractNumId="1">
    <w:nsid w:val="48E072FB"/>
    <w:multiLevelType w:val="singleLevel"/>
    <w:tmpl w:val="48E072FB"/>
    <w:lvl w:ilvl="0" w:tentative="0">
      <w:start w:val="1"/>
      <w:numFmt w:val="chineseCounting"/>
      <w:suff w:val="nothing"/>
      <w:lvlText w:val="（%1）"/>
      <w:lvlJc w:val="left"/>
      <w:rPr>
        <w:rFonts w:hint="eastAsia"/>
      </w:rPr>
    </w:lvl>
  </w:abstractNum>
  <w:abstractNum w:abstractNumId="2">
    <w:nsid w:val="6776FF40"/>
    <w:multiLevelType w:val="singleLevel"/>
    <w:tmpl w:val="6776FF40"/>
    <w:lvl w:ilvl="0" w:tentative="0">
      <w:start w:val="1"/>
      <w:numFmt w:val="decimal"/>
      <w:suff w:val="nothing"/>
      <w:lvlText w:val="（%1）"/>
      <w:lvlJc w:val="left"/>
      <w:pPr>
        <w:ind w:left="-1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9A7B6B"/>
    <w:rsid w:val="011768D6"/>
    <w:rsid w:val="02ED749F"/>
    <w:rsid w:val="04375C00"/>
    <w:rsid w:val="0444100C"/>
    <w:rsid w:val="04CD56ED"/>
    <w:rsid w:val="04F74332"/>
    <w:rsid w:val="051303DF"/>
    <w:rsid w:val="05420B35"/>
    <w:rsid w:val="065D70FD"/>
    <w:rsid w:val="067370A2"/>
    <w:rsid w:val="06783F44"/>
    <w:rsid w:val="06A452F3"/>
    <w:rsid w:val="079C60D8"/>
    <w:rsid w:val="08287935"/>
    <w:rsid w:val="0A411361"/>
    <w:rsid w:val="0A590128"/>
    <w:rsid w:val="0ABB7F3F"/>
    <w:rsid w:val="0CA04344"/>
    <w:rsid w:val="0D344BB7"/>
    <w:rsid w:val="0F0D443D"/>
    <w:rsid w:val="0F272A69"/>
    <w:rsid w:val="0F752B68"/>
    <w:rsid w:val="107D6C1D"/>
    <w:rsid w:val="13F413C8"/>
    <w:rsid w:val="147B3C2A"/>
    <w:rsid w:val="15456B76"/>
    <w:rsid w:val="163D5A89"/>
    <w:rsid w:val="166C0B57"/>
    <w:rsid w:val="17072F54"/>
    <w:rsid w:val="17656B71"/>
    <w:rsid w:val="17F263D4"/>
    <w:rsid w:val="1811250D"/>
    <w:rsid w:val="18E66206"/>
    <w:rsid w:val="1AA3373F"/>
    <w:rsid w:val="1BA558EC"/>
    <w:rsid w:val="1BB03C7D"/>
    <w:rsid w:val="1BE1664A"/>
    <w:rsid w:val="1C4E6FFE"/>
    <w:rsid w:val="1C893960"/>
    <w:rsid w:val="1C993BFA"/>
    <w:rsid w:val="1CAD289B"/>
    <w:rsid w:val="1CD63A5F"/>
    <w:rsid w:val="1D1F21A5"/>
    <w:rsid w:val="1D672E18"/>
    <w:rsid w:val="1DD138F7"/>
    <w:rsid w:val="1EFA20E0"/>
    <w:rsid w:val="202B0253"/>
    <w:rsid w:val="20594BB8"/>
    <w:rsid w:val="21E83A2C"/>
    <w:rsid w:val="220F4F71"/>
    <w:rsid w:val="22993850"/>
    <w:rsid w:val="23114793"/>
    <w:rsid w:val="235C138F"/>
    <w:rsid w:val="23BC5F31"/>
    <w:rsid w:val="290A02E1"/>
    <w:rsid w:val="29DD3EBD"/>
    <w:rsid w:val="2A0348BA"/>
    <w:rsid w:val="2A6F342B"/>
    <w:rsid w:val="2B9A2F19"/>
    <w:rsid w:val="2C701C77"/>
    <w:rsid w:val="2CD4199C"/>
    <w:rsid w:val="2CF540CF"/>
    <w:rsid w:val="2FB90644"/>
    <w:rsid w:val="2FE0031A"/>
    <w:rsid w:val="2FEB66AB"/>
    <w:rsid w:val="303F0333"/>
    <w:rsid w:val="30D156A4"/>
    <w:rsid w:val="31A341A1"/>
    <w:rsid w:val="328B7EF8"/>
    <w:rsid w:val="33B54162"/>
    <w:rsid w:val="3569702C"/>
    <w:rsid w:val="358F2AEF"/>
    <w:rsid w:val="35C432FE"/>
    <w:rsid w:val="3622425C"/>
    <w:rsid w:val="389E45F0"/>
    <w:rsid w:val="39E0212F"/>
    <w:rsid w:val="39F96E2B"/>
    <w:rsid w:val="3AE3482A"/>
    <w:rsid w:val="3BF14D67"/>
    <w:rsid w:val="3CBB5498"/>
    <w:rsid w:val="3D90570D"/>
    <w:rsid w:val="3DB44648"/>
    <w:rsid w:val="3E307815"/>
    <w:rsid w:val="3E605DE6"/>
    <w:rsid w:val="3ECC5814"/>
    <w:rsid w:val="3F5462F2"/>
    <w:rsid w:val="3F855A6C"/>
    <w:rsid w:val="405C4927"/>
    <w:rsid w:val="40E47D03"/>
    <w:rsid w:val="411F1B00"/>
    <w:rsid w:val="42076B60"/>
    <w:rsid w:val="42570AFD"/>
    <w:rsid w:val="44030F25"/>
    <w:rsid w:val="45BB5620"/>
    <w:rsid w:val="45F45E51"/>
    <w:rsid w:val="46132E83"/>
    <w:rsid w:val="462D72B0"/>
    <w:rsid w:val="465A48FC"/>
    <w:rsid w:val="46693892"/>
    <w:rsid w:val="475D5424"/>
    <w:rsid w:val="487C56A2"/>
    <w:rsid w:val="4922188C"/>
    <w:rsid w:val="49464F44"/>
    <w:rsid w:val="498C34BA"/>
    <w:rsid w:val="4A4A4B72"/>
    <w:rsid w:val="4BA15123"/>
    <w:rsid w:val="4BFE1C3A"/>
    <w:rsid w:val="4E2A34C8"/>
    <w:rsid w:val="4E506F8B"/>
    <w:rsid w:val="4F5167AE"/>
    <w:rsid w:val="4F795774"/>
    <w:rsid w:val="500B7261"/>
    <w:rsid w:val="508A55B1"/>
    <w:rsid w:val="52E72E92"/>
    <w:rsid w:val="53DD5C60"/>
    <w:rsid w:val="543B24BE"/>
    <w:rsid w:val="57B62775"/>
    <w:rsid w:val="58083479"/>
    <w:rsid w:val="58B13C92"/>
    <w:rsid w:val="59373B6B"/>
    <w:rsid w:val="5B01535C"/>
    <w:rsid w:val="5B97061A"/>
    <w:rsid w:val="5CCC024F"/>
    <w:rsid w:val="5D1F69D4"/>
    <w:rsid w:val="5D3B2A81"/>
    <w:rsid w:val="5D762C66"/>
    <w:rsid w:val="5E1636E9"/>
    <w:rsid w:val="61D71F16"/>
    <w:rsid w:val="62173BF9"/>
    <w:rsid w:val="6220088D"/>
    <w:rsid w:val="6279041A"/>
    <w:rsid w:val="62CF33A7"/>
    <w:rsid w:val="65D05019"/>
    <w:rsid w:val="6679092A"/>
    <w:rsid w:val="686007CB"/>
    <w:rsid w:val="6861624C"/>
    <w:rsid w:val="69023BD7"/>
    <w:rsid w:val="694677C3"/>
    <w:rsid w:val="69F73157"/>
    <w:rsid w:val="6A4F7008"/>
    <w:rsid w:val="6B693FC6"/>
    <w:rsid w:val="6CD50C99"/>
    <w:rsid w:val="6D3E06C9"/>
    <w:rsid w:val="6D6B2492"/>
    <w:rsid w:val="6DAE4DD8"/>
    <w:rsid w:val="6DF25BEE"/>
    <w:rsid w:val="6F252AE8"/>
    <w:rsid w:val="707D659C"/>
    <w:rsid w:val="70BE1584"/>
    <w:rsid w:val="70F439A5"/>
    <w:rsid w:val="71041CF8"/>
    <w:rsid w:val="72D00816"/>
    <w:rsid w:val="733A771A"/>
    <w:rsid w:val="73F23645"/>
    <w:rsid w:val="77E326A6"/>
    <w:rsid w:val="788936C0"/>
    <w:rsid w:val="79ED60B9"/>
    <w:rsid w:val="7A0400BD"/>
    <w:rsid w:val="7D335CF6"/>
    <w:rsid w:val="7D670F28"/>
    <w:rsid w:val="7DDD4F1C"/>
    <w:rsid w:val="7E207EFD"/>
    <w:rsid w:val="7EED3DCE"/>
    <w:rsid w:val="7F95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6">
    <w:name w:val="heading 3"/>
    <w:basedOn w:val="1"/>
    <w:next w:val="7"/>
    <w:qFormat/>
    <w:uiPriority w:val="0"/>
    <w:pPr>
      <w:keepNext/>
      <w:keepLines/>
      <w:spacing w:line="480" w:lineRule="exact"/>
      <w:ind w:firstLine="567"/>
      <w:outlineLvl w:val="2"/>
    </w:pPr>
    <w:rPr>
      <w:rFonts w:ascii="Times New Roman" w:hAnsi="Times New Roman"/>
      <w:sz w:val="28"/>
      <w:szCs w:val="20"/>
    </w:rPr>
  </w:style>
  <w:style w:type="paragraph" w:styleId="3">
    <w:name w:val="heading 4"/>
    <w:basedOn w:val="1"/>
    <w:next w:val="1"/>
    <w:qFormat/>
    <w:uiPriority w:val="9"/>
    <w:pPr>
      <w:keepNext/>
      <w:keepLines/>
      <w:spacing w:before="280" w:after="290" w:line="376" w:lineRule="auto"/>
      <w:outlineLvl w:val="3"/>
    </w:pPr>
    <w:rPr>
      <w:rFonts w:ascii="Cambria" w:hAnsi="Cambria"/>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Plain Text"/>
    <w:basedOn w:val="1"/>
    <w:next w:val="3"/>
    <w:unhideWhenUsed/>
    <w:qFormat/>
    <w:uiPriority w:val="99"/>
    <w:rPr>
      <w:rFonts w:hint="eastAsia" w:ascii="宋体" w:hAnsi="Courier New"/>
    </w:rPr>
  </w:style>
  <w:style w:type="paragraph" w:styleId="7">
    <w:name w:val="Normal Indent"/>
    <w:basedOn w:val="1"/>
    <w:qFormat/>
    <w:uiPriority w:val="0"/>
    <w:pPr>
      <w:adjustRightInd w:val="0"/>
      <w:spacing w:line="560" w:lineRule="exact"/>
      <w:ind w:firstLine="624"/>
      <w:jc w:val="left"/>
      <w:textAlignment w:val="baseline"/>
    </w:pPr>
    <w:rPr>
      <w:rFonts w:ascii="Times New Roman" w:hAnsi="Times New Roman" w:eastAsia="仿宋_GB2312"/>
      <w:kern w:val="0"/>
      <w:sz w:val="30"/>
      <w:szCs w:val="20"/>
    </w:rPr>
  </w:style>
  <w:style w:type="paragraph" w:styleId="8">
    <w:name w:val="Body Text"/>
    <w:basedOn w:val="1"/>
    <w:next w:val="9"/>
    <w:qFormat/>
    <w:uiPriority w:val="0"/>
    <w:pPr>
      <w:widowControl w:val="0"/>
      <w:spacing w:after="120"/>
      <w:jc w:val="both"/>
    </w:pPr>
  </w:style>
  <w:style w:type="paragraph" w:styleId="9">
    <w:name w:val="Title"/>
    <w:basedOn w:val="1"/>
    <w:next w:val="1"/>
    <w:qFormat/>
    <w:uiPriority w:val="0"/>
    <w:pPr>
      <w:widowControl w:val="0"/>
      <w:spacing w:beforeLines="100" w:afterLines="100" w:line="360" w:lineRule="auto"/>
      <w:ind w:firstLine="200" w:firstLineChars="200"/>
      <w:jc w:val="center"/>
      <w:outlineLvl w:val="0"/>
    </w:pPr>
    <w:rPr>
      <w:rFonts w:eastAsia="黑体"/>
      <w:bCs/>
      <w:sz w:val="36"/>
      <w:szCs w:val="32"/>
    </w:rPr>
  </w:style>
  <w:style w:type="paragraph" w:styleId="10">
    <w:name w:val="footer"/>
    <w:basedOn w:val="1"/>
    <w:qFormat/>
    <w:uiPriority w:val="0"/>
    <w:pPr>
      <w:widowControl/>
      <w:tabs>
        <w:tab w:val="center" w:pos="4153"/>
        <w:tab w:val="right" w:pos="8306"/>
      </w:tabs>
      <w:snapToGrid w:val="0"/>
      <w:jc w:val="left"/>
    </w:pPr>
    <w:rPr>
      <w:rFonts w:ascii="Times New Roman" w:hAnsi="Times New Roman"/>
      <w:kern w:val="0"/>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4">
    <w:name w:val="page number"/>
    <w:basedOn w:val="13"/>
    <w:qFormat/>
    <w:uiPriority w:val="0"/>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2025-01-23T09:23:00Z</dcterms:created>
  <dc:creator>zhanglan</dc:creator>
  <cp:lastModifiedBy>Administrator</cp:lastModifiedBy>
  <dcterms:modified xsi:type="dcterms:W3CDTF">2025-11-25T08:43:11Z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584F191C6A964E749BB352228139ACC8</vt:lpwstr>
  </property>
  <property fmtid="{D5CDD505-2E9C-101B-9397-08002B2CF9AE}" pid="3" name="KSOProductBuildVer">
    <vt:lpwstr>2052-11.8.2.12085</vt:lpwstr>
  </property>
</Properties>
</file>